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3A" w:rsidRPr="00246470" w:rsidRDefault="00AF703A" w:rsidP="00AF703A">
      <w:pPr>
        <w:ind w:firstLine="720"/>
        <w:jc w:val="both"/>
        <w:rPr>
          <w:sz w:val="26"/>
          <w:szCs w:val="26"/>
          <w:lang w:val="lv-LV"/>
        </w:rPr>
      </w:pPr>
      <w:r w:rsidRPr="00246470">
        <w:rPr>
          <w:sz w:val="26"/>
          <w:szCs w:val="26"/>
          <w:lang w:val="lv-LV"/>
        </w:rPr>
        <w:t xml:space="preserve">Rīgas pašvaldības policijā (turpmāk – RPP) </w:t>
      </w:r>
      <w:r w:rsidR="00246470" w:rsidRPr="00246470">
        <w:rPr>
          <w:sz w:val="26"/>
          <w:szCs w:val="26"/>
          <w:lang w:val="lv-LV"/>
        </w:rPr>
        <w:t>27</w:t>
      </w:r>
      <w:r w:rsidRPr="00246470">
        <w:rPr>
          <w:sz w:val="26"/>
          <w:szCs w:val="26"/>
          <w:lang w:val="lv-LV"/>
        </w:rPr>
        <w:t>.08.2018. saņemta ie</w:t>
      </w:r>
      <w:r w:rsidR="00500E3A" w:rsidRPr="00246470">
        <w:rPr>
          <w:sz w:val="26"/>
          <w:szCs w:val="26"/>
          <w:lang w:val="lv-LV"/>
        </w:rPr>
        <w:t>interesētā pretendenta  vēstule</w:t>
      </w:r>
      <w:r w:rsidRPr="00246470">
        <w:rPr>
          <w:sz w:val="26"/>
          <w:szCs w:val="26"/>
          <w:lang w:val="lv-LV"/>
        </w:rPr>
        <w:t xml:space="preserve"> saistībā ar RPP izsludināto atklāto konkursu </w:t>
      </w:r>
      <w:proofErr w:type="spellStart"/>
      <w:r w:rsidRPr="00246470">
        <w:rPr>
          <w:sz w:val="26"/>
          <w:szCs w:val="26"/>
          <w:lang w:val="lv-LV"/>
        </w:rPr>
        <w:t>Nr.RPP</w:t>
      </w:r>
      <w:proofErr w:type="spellEnd"/>
      <w:r w:rsidRPr="00246470">
        <w:rPr>
          <w:sz w:val="26"/>
          <w:szCs w:val="26"/>
          <w:lang w:val="lv-LV"/>
        </w:rPr>
        <w:t xml:space="preserve"> 2018/12 “Par sauszemes transportlīdzekļu brīvprātīgās apdrošināšanas (KASKO) un sauszemes transportlīdzekļu īpašnieku obligātās civiltiesiskās atbildības apdrošināšanas (OCTA) iegādi”, ar lūgumu sniegt atbildes uz </w:t>
      </w:r>
      <w:bookmarkStart w:id="0" w:name="_GoBack"/>
      <w:bookmarkEnd w:id="0"/>
      <w:r w:rsidRPr="00246470">
        <w:rPr>
          <w:sz w:val="26"/>
          <w:szCs w:val="26"/>
          <w:lang w:val="lv-LV"/>
        </w:rPr>
        <w:t>sekojošu jautājumu:</w:t>
      </w:r>
    </w:p>
    <w:p w:rsidR="00AF703A" w:rsidRPr="00246470" w:rsidRDefault="0028382C" w:rsidP="00AF703A">
      <w:pPr>
        <w:ind w:firstLine="720"/>
        <w:jc w:val="both"/>
        <w:rPr>
          <w:sz w:val="26"/>
          <w:szCs w:val="26"/>
          <w:lang w:val="lv-LV"/>
        </w:rPr>
      </w:pPr>
      <w:r w:rsidRPr="00246470">
        <w:rPr>
          <w:b/>
          <w:sz w:val="26"/>
          <w:szCs w:val="26"/>
          <w:lang w:val="lv-LV"/>
        </w:rPr>
        <w:t>Jautājumi</w:t>
      </w:r>
      <w:r w:rsidR="00AF703A" w:rsidRPr="00246470">
        <w:rPr>
          <w:sz w:val="26"/>
          <w:szCs w:val="26"/>
          <w:lang w:val="lv-LV"/>
        </w:rPr>
        <w:t>:</w:t>
      </w:r>
    </w:p>
    <w:p w:rsidR="00246470" w:rsidRPr="00246470" w:rsidRDefault="00246470" w:rsidP="00246470">
      <w:pPr>
        <w:pStyle w:val="Sarakstarindkopa"/>
        <w:numPr>
          <w:ilvl w:val="0"/>
          <w:numId w:val="5"/>
        </w:numPr>
        <w:tabs>
          <w:tab w:val="left" w:pos="993"/>
        </w:tabs>
        <w:ind w:left="0" w:firstLine="720"/>
        <w:jc w:val="both"/>
        <w:rPr>
          <w:sz w:val="26"/>
          <w:szCs w:val="26"/>
          <w:lang w:val="lv-LV"/>
        </w:rPr>
      </w:pPr>
      <w:r w:rsidRPr="00246470">
        <w:rPr>
          <w:sz w:val="26"/>
          <w:szCs w:val="26"/>
          <w:lang w:val="lv-LV"/>
        </w:rPr>
        <w:t>Lūdzu sniegt KASKO zaudējumu statistiku par pēdējiem trīs gadiem vai citu Jums zināmu periodu (norādot kādu), kurā tiek norādīts:</w:t>
      </w:r>
    </w:p>
    <w:p w:rsidR="00246470" w:rsidRPr="00246470" w:rsidRDefault="00246470" w:rsidP="00246470">
      <w:pPr>
        <w:tabs>
          <w:tab w:val="left" w:pos="993"/>
        </w:tabs>
        <w:ind w:firstLine="720"/>
        <w:jc w:val="both"/>
        <w:rPr>
          <w:sz w:val="26"/>
          <w:szCs w:val="26"/>
          <w:lang w:val="lv-LV"/>
        </w:rPr>
      </w:pPr>
      <w:r w:rsidRPr="00246470">
        <w:rPr>
          <w:sz w:val="26"/>
          <w:szCs w:val="26"/>
          <w:lang w:val="lv-LV"/>
        </w:rPr>
        <w:t xml:space="preserve">*)Cik šajā periodā bija KASKO apdrošināšanas gadījumi (cik no tiem </w:t>
      </w:r>
      <w:proofErr w:type="spellStart"/>
      <w:r w:rsidRPr="00246470">
        <w:rPr>
          <w:sz w:val="26"/>
          <w:szCs w:val="26"/>
          <w:lang w:val="lv-LV"/>
        </w:rPr>
        <w:t>regresi</w:t>
      </w:r>
      <w:proofErr w:type="spellEnd"/>
      <w:r w:rsidRPr="00246470">
        <w:rPr>
          <w:sz w:val="26"/>
          <w:szCs w:val="26"/>
          <w:lang w:val="lv-LV"/>
        </w:rPr>
        <w:t>) - katram gadam atsevišķi?</w:t>
      </w:r>
    </w:p>
    <w:p w:rsidR="00246470" w:rsidRPr="00246470" w:rsidRDefault="00246470" w:rsidP="00246470">
      <w:pPr>
        <w:tabs>
          <w:tab w:val="left" w:pos="993"/>
        </w:tabs>
        <w:ind w:firstLine="720"/>
        <w:jc w:val="both"/>
        <w:rPr>
          <w:sz w:val="26"/>
          <w:szCs w:val="26"/>
          <w:lang w:val="lv-LV"/>
        </w:rPr>
      </w:pPr>
      <w:r w:rsidRPr="00246470">
        <w:rPr>
          <w:sz w:val="26"/>
          <w:szCs w:val="26"/>
          <w:lang w:val="lv-LV"/>
        </w:rPr>
        <w:t>*)Kāda KASKO atlīdzību summa eiro bija pieteikta un izmaksāta (bez regresa gadījumiem) šajā periodā (atsevišķi pa katru periodu)?</w:t>
      </w:r>
    </w:p>
    <w:p w:rsidR="00246470" w:rsidRPr="00246470" w:rsidRDefault="00246470" w:rsidP="00246470">
      <w:pPr>
        <w:tabs>
          <w:tab w:val="left" w:pos="993"/>
        </w:tabs>
        <w:ind w:firstLine="720"/>
        <w:jc w:val="both"/>
        <w:rPr>
          <w:sz w:val="26"/>
          <w:szCs w:val="26"/>
          <w:lang w:val="lv-LV"/>
        </w:rPr>
      </w:pPr>
      <w:r w:rsidRPr="00246470">
        <w:rPr>
          <w:sz w:val="26"/>
          <w:szCs w:val="26"/>
          <w:lang w:val="lv-LV"/>
        </w:rPr>
        <w:t>*)Vai ir bijuši un cik daudz bojāejas un/vai zādzības gadījumi šajā laikā (atsevišķi pa katru periodu)??  Kāda bija atlīdzību summa eiro?</w:t>
      </w:r>
    </w:p>
    <w:p w:rsidR="00246470" w:rsidRPr="00246470" w:rsidRDefault="00246470" w:rsidP="00246470">
      <w:pPr>
        <w:tabs>
          <w:tab w:val="left" w:pos="993"/>
        </w:tabs>
        <w:ind w:firstLine="720"/>
        <w:jc w:val="both"/>
        <w:rPr>
          <w:sz w:val="26"/>
          <w:szCs w:val="26"/>
          <w:lang w:val="lv-LV"/>
        </w:rPr>
      </w:pPr>
      <w:r w:rsidRPr="00246470">
        <w:rPr>
          <w:sz w:val="26"/>
          <w:szCs w:val="26"/>
          <w:lang w:val="lv-LV"/>
        </w:rPr>
        <w:t xml:space="preserve">*)Cik vienības katrā no iepriekš minētajiem periodiem ir bijušas apdrošinātas? Ar kādiem nosacījumiem/ </w:t>
      </w:r>
      <w:proofErr w:type="spellStart"/>
      <w:r w:rsidRPr="00246470">
        <w:rPr>
          <w:sz w:val="26"/>
          <w:szCs w:val="26"/>
          <w:lang w:val="lv-LV"/>
        </w:rPr>
        <w:t>pašriskiem</w:t>
      </w:r>
      <w:proofErr w:type="spellEnd"/>
      <w:r w:rsidRPr="00246470">
        <w:rPr>
          <w:sz w:val="26"/>
          <w:szCs w:val="26"/>
          <w:lang w:val="lv-LV"/>
        </w:rPr>
        <w:t xml:space="preserve"> a/m bija/ir apdrošinātas? </w:t>
      </w:r>
    </w:p>
    <w:p w:rsidR="00246470" w:rsidRPr="00246470" w:rsidRDefault="00246470" w:rsidP="00246470">
      <w:pPr>
        <w:tabs>
          <w:tab w:val="left" w:pos="993"/>
        </w:tabs>
        <w:ind w:firstLine="709"/>
        <w:jc w:val="both"/>
        <w:rPr>
          <w:sz w:val="26"/>
          <w:szCs w:val="26"/>
          <w:lang w:val="lv-LV"/>
        </w:rPr>
      </w:pPr>
    </w:p>
    <w:p w:rsidR="00246470" w:rsidRPr="00246470" w:rsidRDefault="00246470" w:rsidP="00246470">
      <w:pPr>
        <w:pStyle w:val="Sarakstarindkopa"/>
        <w:numPr>
          <w:ilvl w:val="0"/>
          <w:numId w:val="5"/>
        </w:numPr>
        <w:tabs>
          <w:tab w:val="left" w:pos="993"/>
        </w:tabs>
        <w:ind w:left="0" w:firstLine="709"/>
        <w:jc w:val="both"/>
        <w:rPr>
          <w:sz w:val="26"/>
          <w:szCs w:val="26"/>
          <w:lang w:val="lv-LV"/>
        </w:rPr>
      </w:pPr>
      <w:r w:rsidRPr="00246470">
        <w:rPr>
          <w:sz w:val="26"/>
          <w:szCs w:val="26"/>
          <w:lang w:val="lv-LV"/>
        </w:rPr>
        <w:t>Kurā (-</w:t>
      </w:r>
      <w:proofErr w:type="spellStart"/>
      <w:r w:rsidRPr="00246470">
        <w:rPr>
          <w:sz w:val="26"/>
          <w:szCs w:val="26"/>
          <w:lang w:val="lv-LV"/>
        </w:rPr>
        <w:t>ās</w:t>
      </w:r>
      <w:proofErr w:type="spellEnd"/>
      <w:r w:rsidRPr="00246470">
        <w:rPr>
          <w:sz w:val="26"/>
          <w:szCs w:val="26"/>
          <w:lang w:val="lv-LV"/>
        </w:rPr>
        <w:t xml:space="preserve">) </w:t>
      </w:r>
      <w:proofErr w:type="spellStart"/>
      <w:r w:rsidRPr="00246470">
        <w:rPr>
          <w:sz w:val="26"/>
          <w:szCs w:val="26"/>
          <w:lang w:val="lv-LV"/>
        </w:rPr>
        <w:t>apdr.kompānijā</w:t>
      </w:r>
      <w:proofErr w:type="spellEnd"/>
      <w:r w:rsidRPr="00246470">
        <w:rPr>
          <w:sz w:val="26"/>
          <w:szCs w:val="26"/>
          <w:lang w:val="lv-LV"/>
        </w:rPr>
        <w:t xml:space="preserve"> (-</w:t>
      </w:r>
      <w:proofErr w:type="spellStart"/>
      <w:r w:rsidRPr="00246470">
        <w:rPr>
          <w:sz w:val="26"/>
          <w:szCs w:val="26"/>
          <w:lang w:val="lv-LV"/>
        </w:rPr>
        <w:t>ās</w:t>
      </w:r>
      <w:proofErr w:type="spellEnd"/>
      <w:r w:rsidRPr="00246470">
        <w:rPr>
          <w:sz w:val="26"/>
          <w:szCs w:val="26"/>
          <w:lang w:val="lv-LV"/>
        </w:rPr>
        <w:t>) drošinājās autoparks pēdējos trīs gados?</w:t>
      </w:r>
    </w:p>
    <w:p w:rsidR="00246470" w:rsidRPr="00246470" w:rsidRDefault="00246470" w:rsidP="00246470">
      <w:pPr>
        <w:pStyle w:val="Sarakstarindkopa"/>
        <w:tabs>
          <w:tab w:val="left" w:pos="993"/>
        </w:tabs>
        <w:ind w:left="709"/>
        <w:jc w:val="both"/>
        <w:rPr>
          <w:sz w:val="26"/>
          <w:szCs w:val="26"/>
          <w:lang w:val="lv-LV"/>
        </w:rPr>
      </w:pPr>
    </w:p>
    <w:p w:rsidR="00246470" w:rsidRPr="00246470" w:rsidRDefault="00246470" w:rsidP="00246470">
      <w:pPr>
        <w:pStyle w:val="Sarakstarindkopa"/>
        <w:numPr>
          <w:ilvl w:val="0"/>
          <w:numId w:val="5"/>
        </w:numPr>
        <w:tabs>
          <w:tab w:val="left" w:pos="993"/>
        </w:tabs>
        <w:ind w:left="0" w:firstLine="709"/>
        <w:jc w:val="both"/>
        <w:rPr>
          <w:sz w:val="26"/>
          <w:szCs w:val="26"/>
          <w:lang w:val="lv-LV"/>
        </w:rPr>
      </w:pPr>
      <w:r w:rsidRPr="00246470">
        <w:rPr>
          <w:sz w:val="26"/>
          <w:szCs w:val="26"/>
          <w:lang w:val="lv-LV"/>
        </w:rPr>
        <w:t xml:space="preserve">Vai nākamajā </w:t>
      </w:r>
      <w:proofErr w:type="spellStart"/>
      <w:r w:rsidRPr="00246470">
        <w:rPr>
          <w:sz w:val="26"/>
          <w:szCs w:val="26"/>
          <w:lang w:val="lv-LV"/>
        </w:rPr>
        <w:t>apdr</w:t>
      </w:r>
      <w:proofErr w:type="spellEnd"/>
      <w:r w:rsidRPr="00246470">
        <w:rPr>
          <w:sz w:val="26"/>
          <w:szCs w:val="26"/>
          <w:lang w:val="lv-LV"/>
        </w:rPr>
        <w:t>. periodā ir plānots atjaunot autoparku? Ja jā, tad cik lielas izmaiņas ir ieplānotas? Kādi transportlīdzekļi (marka, modelis, iegādes vērtība un cita iespējama informācija) ir plānots iegadāties?</w:t>
      </w:r>
    </w:p>
    <w:p w:rsidR="00AF703A" w:rsidRPr="00246470" w:rsidRDefault="00AF703A" w:rsidP="00AF703A">
      <w:pPr>
        <w:ind w:firstLine="720"/>
        <w:jc w:val="both"/>
        <w:rPr>
          <w:lang w:val="lv-LV"/>
        </w:rPr>
      </w:pPr>
    </w:p>
    <w:p w:rsidR="00246470" w:rsidRPr="00246470" w:rsidRDefault="00AF703A" w:rsidP="00246470">
      <w:pPr>
        <w:ind w:firstLine="720"/>
        <w:jc w:val="both"/>
        <w:rPr>
          <w:sz w:val="26"/>
          <w:szCs w:val="26"/>
          <w:lang w:val="lv-LV"/>
        </w:rPr>
      </w:pPr>
      <w:r w:rsidRPr="00246470">
        <w:rPr>
          <w:b/>
          <w:sz w:val="26"/>
          <w:szCs w:val="26"/>
          <w:lang w:val="lv-LV"/>
        </w:rPr>
        <w:t>Atbilde</w:t>
      </w:r>
      <w:r w:rsidR="0028382C" w:rsidRPr="00246470">
        <w:rPr>
          <w:b/>
          <w:sz w:val="26"/>
          <w:szCs w:val="26"/>
          <w:lang w:val="lv-LV"/>
        </w:rPr>
        <w:t>s</w:t>
      </w:r>
      <w:r w:rsidRPr="00246470">
        <w:rPr>
          <w:b/>
          <w:sz w:val="26"/>
          <w:szCs w:val="26"/>
          <w:lang w:val="lv-LV"/>
        </w:rPr>
        <w:t>:</w:t>
      </w:r>
      <w:r w:rsidR="00246470" w:rsidRPr="00246470">
        <w:rPr>
          <w:sz w:val="26"/>
          <w:szCs w:val="26"/>
          <w:lang w:val="lv-LV"/>
        </w:rPr>
        <w:t xml:space="preserve"> </w:t>
      </w:r>
    </w:p>
    <w:tbl>
      <w:tblPr>
        <w:tblpPr w:leftFromText="180" w:rightFromText="180" w:vertAnchor="page" w:horzAnchor="margin" w:tblpY="8656"/>
        <w:tblW w:w="9464" w:type="dxa"/>
        <w:tblLayout w:type="fixed"/>
        <w:tblCellMar>
          <w:left w:w="0" w:type="dxa"/>
          <w:right w:w="0" w:type="dxa"/>
        </w:tblCellMar>
        <w:tblLook w:val="04A0" w:firstRow="1" w:lastRow="0" w:firstColumn="1" w:lastColumn="0" w:noHBand="0" w:noVBand="1"/>
      </w:tblPr>
      <w:tblGrid>
        <w:gridCol w:w="696"/>
        <w:gridCol w:w="1336"/>
        <w:gridCol w:w="1701"/>
        <w:gridCol w:w="1403"/>
        <w:gridCol w:w="1493"/>
        <w:gridCol w:w="1417"/>
        <w:gridCol w:w="1418"/>
      </w:tblGrid>
      <w:tr w:rsidR="00246470" w:rsidRPr="00246470" w:rsidTr="00246470">
        <w:trPr>
          <w:trHeight w:val="708"/>
        </w:trPr>
        <w:tc>
          <w:tcPr>
            <w:tcW w:w="696" w:type="dxa"/>
            <w:noWrap/>
            <w:tcMar>
              <w:top w:w="0" w:type="dxa"/>
              <w:left w:w="108" w:type="dxa"/>
              <w:bottom w:w="0" w:type="dxa"/>
              <w:right w:w="108" w:type="dxa"/>
            </w:tcMar>
            <w:vAlign w:val="center"/>
            <w:hideMark/>
          </w:tcPr>
          <w:p w:rsidR="00246470" w:rsidRPr="00246470" w:rsidRDefault="00246470" w:rsidP="00246470">
            <w:pPr>
              <w:rPr>
                <w:sz w:val="20"/>
                <w:szCs w:val="20"/>
                <w:lang w:val="lv-LV" w:eastAsia="lv-LV"/>
              </w:rPr>
            </w:pPr>
          </w:p>
        </w:tc>
        <w:tc>
          <w:tcPr>
            <w:tcW w:w="1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6470" w:rsidRPr="00246470" w:rsidRDefault="00246470" w:rsidP="00246470">
            <w:pPr>
              <w:jc w:val="center"/>
              <w:rPr>
                <w:lang w:val="lv-LV"/>
              </w:rPr>
            </w:pPr>
            <w:r w:rsidRPr="00246470">
              <w:rPr>
                <w:color w:val="000000"/>
                <w:lang w:val="lv-LV"/>
              </w:rPr>
              <w:t>KASKO apdrošināto t/l skaits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6470" w:rsidRPr="00246470" w:rsidRDefault="00246470" w:rsidP="00246470">
            <w:pPr>
              <w:jc w:val="center"/>
              <w:rPr>
                <w:color w:val="000000"/>
                <w:lang w:val="lv-LV"/>
              </w:rPr>
            </w:pPr>
            <w:r w:rsidRPr="00246470">
              <w:rPr>
                <w:color w:val="000000"/>
                <w:lang w:val="lv-LV"/>
              </w:rPr>
              <w:t xml:space="preserve">Bojājumu </w:t>
            </w:r>
            <w:proofErr w:type="spellStart"/>
            <w:r w:rsidRPr="00246470">
              <w:rPr>
                <w:color w:val="000000"/>
                <w:lang w:val="lv-LV"/>
              </w:rPr>
              <w:t>pašriska</w:t>
            </w:r>
            <w:proofErr w:type="spellEnd"/>
            <w:r w:rsidRPr="00246470">
              <w:rPr>
                <w:color w:val="000000"/>
                <w:lang w:val="lv-LV"/>
              </w:rPr>
              <w:t xml:space="preserve"> summa</w:t>
            </w:r>
          </w:p>
          <w:p w:rsidR="00246470" w:rsidRPr="00246470" w:rsidRDefault="00246470" w:rsidP="00246470">
            <w:pPr>
              <w:jc w:val="center"/>
              <w:rPr>
                <w:sz w:val="20"/>
                <w:szCs w:val="20"/>
                <w:lang w:val="lv-LV"/>
              </w:rPr>
            </w:pPr>
            <w:r w:rsidRPr="00246470">
              <w:rPr>
                <w:color w:val="000000"/>
                <w:sz w:val="20"/>
                <w:szCs w:val="20"/>
                <w:lang w:val="lv-LV"/>
              </w:rPr>
              <w:t>(viens gadījums, EUR)</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6470" w:rsidRPr="00246470" w:rsidRDefault="00246470" w:rsidP="00246470">
            <w:pPr>
              <w:jc w:val="center"/>
              <w:rPr>
                <w:lang w:val="lv-LV"/>
              </w:rPr>
            </w:pPr>
            <w:r w:rsidRPr="00246470">
              <w:rPr>
                <w:color w:val="000000"/>
                <w:lang w:val="lv-LV"/>
              </w:rPr>
              <w:t>Negadījumu skaits</w:t>
            </w:r>
          </w:p>
        </w:tc>
        <w:tc>
          <w:tcPr>
            <w:tcW w:w="1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6470" w:rsidRPr="00246470" w:rsidRDefault="00246470" w:rsidP="00246470">
            <w:pPr>
              <w:jc w:val="center"/>
              <w:rPr>
                <w:lang w:val="lv-LV"/>
              </w:rPr>
            </w:pPr>
            <w:r w:rsidRPr="00246470">
              <w:rPr>
                <w:color w:val="000000"/>
                <w:lang w:val="lv-LV"/>
              </w:rPr>
              <w:t xml:space="preserve">Izmaksātā summa, ieskaitot </w:t>
            </w:r>
            <w:proofErr w:type="spellStart"/>
            <w:r w:rsidRPr="00246470">
              <w:rPr>
                <w:color w:val="000000"/>
                <w:lang w:val="lv-LV"/>
              </w:rPr>
              <w:t>remontizmaksas</w:t>
            </w:r>
            <w:proofErr w:type="spellEnd"/>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6470" w:rsidRPr="00246470" w:rsidRDefault="00246470" w:rsidP="00246470">
            <w:pPr>
              <w:jc w:val="center"/>
              <w:rPr>
                <w:lang w:val="lv-LV"/>
              </w:rPr>
            </w:pPr>
            <w:r w:rsidRPr="00246470">
              <w:rPr>
                <w:color w:val="000000"/>
                <w:lang w:val="lv-LV"/>
              </w:rPr>
              <w:t>Zādzības - skaits un summa</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6470" w:rsidRPr="00246470" w:rsidRDefault="00246470" w:rsidP="00246470">
            <w:pPr>
              <w:jc w:val="center"/>
              <w:rPr>
                <w:lang w:val="lv-LV"/>
              </w:rPr>
            </w:pPr>
            <w:r w:rsidRPr="00246470">
              <w:rPr>
                <w:color w:val="000000"/>
                <w:lang w:val="lv-LV"/>
              </w:rPr>
              <w:t>Bojāejas- skaits un summa</w:t>
            </w:r>
          </w:p>
        </w:tc>
      </w:tr>
      <w:tr w:rsidR="00246470" w:rsidRPr="00246470" w:rsidTr="00246470">
        <w:trPr>
          <w:trHeight w:val="300"/>
        </w:trPr>
        <w:tc>
          <w:tcPr>
            <w:tcW w:w="6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246470" w:rsidRPr="00246470" w:rsidRDefault="00246470" w:rsidP="00246470">
            <w:pPr>
              <w:jc w:val="right"/>
              <w:rPr>
                <w:color w:val="000000"/>
                <w:lang w:val="lv-LV"/>
              </w:rPr>
            </w:pPr>
            <w:r w:rsidRPr="00246470">
              <w:rPr>
                <w:color w:val="000000"/>
                <w:lang w:val="lv-LV"/>
              </w:rPr>
              <w:t>2017</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46470" w:rsidRPr="00246470" w:rsidRDefault="00246470" w:rsidP="00246470">
            <w:pPr>
              <w:jc w:val="center"/>
              <w:rPr>
                <w:color w:val="000000"/>
                <w:lang w:val="lv-LV"/>
              </w:rPr>
            </w:pPr>
            <w:r w:rsidRPr="00246470">
              <w:rPr>
                <w:color w:val="000000"/>
                <w:lang w:val="lv-LV"/>
              </w:rPr>
              <w:t>160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46470" w:rsidRPr="00246470" w:rsidRDefault="00246470" w:rsidP="00246470">
            <w:pPr>
              <w:jc w:val="center"/>
              <w:rPr>
                <w:lang w:val="lv-LV"/>
              </w:rPr>
            </w:pPr>
            <w:r w:rsidRPr="00246470">
              <w:rPr>
                <w:lang w:val="lv-LV"/>
              </w:rPr>
              <w:t>70,0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46470" w:rsidRPr="00246470" w:rsidRDefault="00246470" w:rsidP="00246470">
            <w:pPr>
              <w:jc w:val="center"/>
              <w:rPr>
                <w:lang w:val="lv-LV"/>
              </w:rPr>
            </w:pPr>
            <w:r w:rsidRPr="00246470">
              <w:rPr>
                <w:lang w:val="lv-LV"/>
              </w:rPr>
              <w:t>26</w:t>
            </w:r>
          </w:p>
        </w:tc>
        <w:tc>
          <w:tcPr>
            <w:tcW w:w="1493" w:type="dxa"/>
            <w:vMerge w:val="restart"/>
            <w:tcBorders>
              <w:top w:val="nil"/>
              <w:left w:val="nil"/>
              <w:right w:val="single" w:sz="8" w:space="0" w:color="auto"/>
            </w:tcBorders>
            <w:noWrap/>
            <w:tcMar>
              <w:top w:w="0" w:type="dxa"/>
              <w:left w:w="108" w:type="dxa"/>
              <w:bottom w:w="0" w:type="dxa"/>
              <w:right w:w="108" w:type="dxa"/>
            </w:tcMar>
            <w:vAlign w:val="center"/>
          </w:tcPr>
          <w:p w:rsidR="00246470" w:rsidRPr="00246470" w:rsidRDefault="00246470" w:rsidP="00246470">
            <w:pPr>
              <w:rPr>
                <w:lang w:val="lv-LV"/>
              </w:rPr>
            </w:pPr>
            <w:r w:rsidRPr="00246470">
              <w:rPr>
                <w:color w:val="000000"/>
                <w:lang w:val="lv-LV"/>
              </w:rPr>
              <w:t> </w:t>
            </w:r>
          </w:p>
          <w:p w:rsidR="00246470" w:rsidRPr="00246470" w:rsidRDefault="00246470" w:rsidP="00246470">
            <w:pPr>
              <w:jc w:val="center"/>
              <w:rPr>
                <w:lang w:val="lv-LV"/>
              </w:rPr>
            </w:pPr>
            <w:r w:rsidRPr="00246470">
              <w:rPr>
                <w:color w:val="000000"/>
                <w:lang w:val="lv-LV"/>
              </w:rPr>
              <w:t>(1)</w:t>
            </w:r>
          </w:p>
          <w:p w:rsidR="00246470" w:rsidRPr="00246470" w:rsidRDefault="00246470" w:rsidP="00246470">
            <w:pPr>
              <w:rPr>
                <w:color w:val="000000"/>
                <w:lang w:val="lv-LV"/>
              </w:rPr>
            </w:pPr>
            <w:r w:rsidRPr="00246470">
              <w:rPr>
                <w:color w:val="000000"/>
                <w:lang w:val="lv-LV"/>
              </w:rPr>
              <w:t> </w:t>
            </w:r>
          </w:p>
        </w:tc>
        <w:tc>
          <w:tcPr>
            <w:tcW w:w="1417" w:type="dxa"/>
            <w:vMerge w:val="restart"/>
            <w:tcBorders>
              <w:top w:val="nil"/>
              <w:left w:val="nil"/>
              <w:right w:val="single" w:sz="8" w:space="0" w:color="auto"/>
            </w:tcBorders>
            <w:noWrap/>
            <w:tcMar>
              <w:top w:w="0" w:type="dxa"/>
              <w:left w:w="108" w:type="dxa"/>
              <w:bottom w:w="0" w:type="dxa"/>
              <w:right w:w="108" w:type="dxa"/>
            </w:tcMar>
            <w:vAlign w:val="center"/>
          </w:tcPr>
          <w:p w:rsidR="00246470" w:rsidRPr="00246470" w:rsidRDefault="00246470" w:rsidP="00246470">
            <w:pPr>
              <w:jc w:val="center"/>
              <w:rPr>
                <w:color w:val="000000"/>
                <w:lang w:val="lv-LV"/>
              </w:rPr>
            </w:pPr>
            <w:r w:rsidRPr="00246470">
              <w:rPr>
                <w:color w:val="000000"/>
                <w:lang w:val="lv-LV"/>
              </w:rPr>
              <w:t>(2)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46470" w:rsidRPr="00246470" w:rsidRDefault="00246470" w:rsidP="00246470">
            <w:pPr>
              <w:jc w:val="center"/>
              <w:rPr>
                <w:color w:val="000000"/>
                <w:lang w:val="lv-LV"/>
              </w:rPr>
            </w:pPr>
            <w:r w:rsidRPr="00246470">
              <w:rPr>
                <w:color w:val="000000"/>
                <w:lang w:val="lv-LV"/>
              </w:rPr>
              <w:t>1 gadījums (3)</w:t>
            </w:r>
          </w:p>
        </w:tc>
      </w:tr>
      <w:tr w:rsidR="00246470" w:rsidRPr="00246470" w:rsidTr="00246470">
        <w:trPr>
          <w:trHeight w:val="300"/>
        </w:trPr>
        <w:tc>
          <w:tcPr>
            <w:tcW w:w="6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246470" w:rsidRPr="00246470" w:rsidRDefault="00246470" w:rsidP="00246470">
            <w:pPr>
              <w:jc w:val="right"/>
              <w:rPr>
                <w:color w:val="000000"/>
                <w:lang w:val="lv-LV"/>
              </w:rPr>
            </w:pPr>
            <w:r w:rsidRPr="00246470">
              <w:rPr>
                <w:color w:val="000000"/>
                <w:lang w:val="lv-LV"/>
              </w:rPr>
              <w:t>2016</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46470" w:rsidRPr="00246470" w:rsidRDefault="00246470" w:rsidP="00246470">
            <w:pPr>
              <w:jc w:val="center"/>
              <w:rPr>
                <w:color w:val="000000"/>
                <w:lang w:val="lv-LV"/>
              </w:rPr>
            </w:pPr>
            <w:r w:rsidRPr="00246470">
              <w:rPr>
                <w:color w:val="000000"/>
                <w:lang w:val="lv-LV"/>
              </w:rPr>
              <w:t>167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46470" w:rsidRPr="00246470" w:rsidRDefault="00246470" w:rsidP="00246470">
            <w:pPr>
              <w:jc w:val="center"/>
              <w:rPr>
                <w:lang w:val="lv-LV"/>
              </w:rPr>
            </w:pPr>
            <w:r w:rsidRPr="00246470">
              <w:rPr>
                <w:lang w:val="lv-LV"/>
              </w:rPr>
              <w:t>70,0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46470" w:rsidRPr="00246470" w:rsidRDefault="00246470" w:rsidP="00246470">
            <w:pPr>
              <w:jc w:val="center"/>
              <w:rPr>
                <w:lang w:val="lv-LV"/>
              </w:rPr>
            </w:pPr>
            <w:r w:rsidRPr="00246470">
              <w:rPr>
                <w:lang w:val="lv-LV"/>
              </w:rPr>
              <w:t>33</w:t>
            </w:r>
          </w:p>
        </w:tc>
        <w:tc>
          <w:tcPr>
            <w:tcW w:w="1493" w:type="dxa"/>
            <w:vMerge/>
            <w:tcBorders>
              <w:left w:val="nil"/>
              <w:right w:val="single" w:sz="8" w:space="0" w:color="auto"/>
            </w:tcBorders>
            <w:noWrap/>
            <w:tcMar>
              <w:top w:w="0" w:type="dxa"/>
              <w:left w:w="108" w:type="dxa"/>
              <w:bottom w:w="0" w:type="dxa"/>
              <w:right w:w="108" w:type="dxa"/>
            </w:tcMar>
            <w:vAlign w:val="center"/>
            <w:hideMark/>
          </w:tcPr>
          <w:p w:rsidR="00246470" w:rsidRPr="00246470" w:rsidRDefault="00246470" w:rsidP="00246470">
            <w:pPr>
              <w:rPr>
                <w:lang w:val="lv-LV"/>
              </w:rPr>
            </w:pPr>
          </w:p>
        </w:tc>
        <w:tc>
          <w:tcPr>
            <w:tcW w:w="1417" w:type="dxa"/>
            <w:vMerge/>
            <w:tcBorders>
              <w:left w:val="nil"/>
              <w:right w:val="single" w:sz="8" w:space="0" w:color="auto"/>
            </w:tcBorders>
            <w:noWrap/>
            <w:tcMar>
              <w:top w:w="0" w:type="dxa"/>
              <w:left w:w="108" w:type="dxa"/>
              <w:bottom w:w="0" w:type="dxa"/>
              <w:right w:w="108" w:type="dxa"/>
            </w:tcMar>
            <w:vAlign w:val="center"/>
            <w:hideMark/>
          </w:tcPr>
          <w:p w:rsidR="00246470" w:rsidRPr="00246470" w:rsidRDefault="00246470" w:rsidP="00246470">
            <w:pPr>
              <w:jc w:val="center"/>
              <w:rPr>
                <w:lang w:val="lv-LV"/>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470" w:rsidRPr="00246470" w:rsidRDefault="00246470" w:rsidP="00246470">
            <w:pPr>
              <w:rPr>
                <w:lang w:val="lv-LV"/>
              </w:rPr>
            </w:pPr>
            <w:r w:rsidRPr="00246470">
              <w:rPr>
                <w:color w:val="000000"/>
                <w:lang w:val="lv-LV"/>
              </w:rPr>
              <w:t> </w:t>
            </w:r>
          </w:p>
        </w:tc>
      </w:tr>
      <w:tr w:rsidR="00246470" w:rsidRPr="00246470" w:rsidTr="00246470">
        <w:trPr>
          <w:trHeight w:val="300"/>
        </w:trPr>
        <w:tc>
          <w:tcPr>
            <w:tcW w:w="6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46470" w:rsidRPr="00246470" w:rsidRDefault="00246470" w:rsidP="00246470">
            <w:pPr>
              <w:jc w:val="right"/>
              <w:rPr>
                <w:lang w:val="lv-LV"/>
              </w:rPr>
            </w:pPr>
            <w:r w:rsidRPr="00246470">
              <w:rPr>
                <w:color w:val="000000"/>
                <w:lang w:val="lv-LV"/>
              </w:rPr>
              <w:t>2015</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46470" w:rsidRPr="00246470" w:rsidRDefault="00246470" w:rsidP="00246470">
            <w:pPr>
              <w:jc w:val="center"/>
              <w:rPr>
                <w:lang w:val="lv-LV"/>
              </w:rPr>
            </w:pPr>
            <w:r w:rsidRPr="00246470">
              <w:rPr>
                <w:color w:val="000000"/>
                <w:lang w:val="lv-LV"/>
              </w:rPr>
              <w:t>166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46470" w:rsidRPr="00246470" w:rsidRDefault="00246470" w:rsidP="00246470">
            <w:pPr>
              <w:jc w:val="center"/>
              <w:rPr>
                <w:lang w:val="lv-LV"/>
              </w:rPr>
            </w:pPr>
            <w:r w:rsidRPr="00246470">
              <w:rPr>
                <w:lang w:val="lv-LV"/>
              </w:rPr>
              <w:t>50,0</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46470" w:rsidRPr="00246470" w:rsidRDefault="00246470" w:rsidP="00246470">
            <w:pPr>
              <w:jc w:val="center"/>
              <w:rPr>
                <w:lang w:val="lv-LV"/>
              </w:rPr>
            </w:pPr>
            <w:r w:rsidRPr="00246470">
              <w:rPr>
                <w:lang w:val="lv-LV"/>
              </w:rPr>
              <w:t>49</w:t>
            </w:r>
          </w:p>
        </w:tc>
        <w:tc>
          <w:tcPr>
            <w:tcW w:w="1493" w:type="dxa"/>
            <w:vMerge/>
            <w:tcBorders>
              <w:left w:val="nil"/>
              <w:bottom w:val="single" w:sz="4" w:space="0" w:color="auto"/>
              <w:right w:val="single" w:sz="8" w:space="0" w:color="auto"/>
            </w:tcBorders>
            <w:vAlign w:val="center"/>
            <w:hideMark/>
          </w:tcPr>
          <w:p w:rsidR="00246470" w:rsidRPr="00246470" w:rsidRDefault="00246470" w:rsidP="00246470">
            <w:pPr>
              <w:rPr>
                <w:lang w:val="lv-LV"/>
              </w:rPr>
            </w:pPr>
          </w:p>
        </w:tc>
        <w:tc>
          <w:tcPr>
            <w:tcW w:w="1417" w:type="dxa"/>
            <w:vMerge/>
            <w:tcBorders>
              <w:left w:val="nil"/>
              <w:bottom w:val="single" w:sz="4" w:space="0" w:color="auto"/>
              <w:right w:val="single" w:sz="8" w:space="0" w:color="auto"/>
            </w:tcBorders>
            <w:vAlign w:val="center"/>
            <w:hideMark/>
          </w:tcPr>
          <w:p w:rsidR="00246470" w:rsidRPr="00246470" w:rsidRDefault="00246470" w:rsidP="00246470">
            <w:pPr>
              <w:rPr>
                <w:lang w:val="lv-LV"/>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46470" w:rsidRPr="00246470" w:rsidRDefault="00246470" w:rsidP="00246470">
            <w:pPr>
              <w:jc w:val="center"/>
              <w:rPr>
                <w:lang w:val="lv-LV"/>
              </w:rPr>
            </w:pPr>
            <w:r w:rsidRPr="00246470">
              <w:rPr>
                <w:color w:val="000000"/>
                <w:lang w:val="lv-LV"/>
              </w:rPr>
              <w:t xml:space="preserve"> </w:t>
            </w:r>
          </w:p>
        </w:tc>
      </w:tr>
    </w:tbl>
    <w:p w:rsidR="00246470" w:rsidRPr="00246470" w:rsidRDefault="00246470" w:rsidP="00246470">
      <w:pPr>
        <w:pStyle w:val="Sarakstarindkopa"/>
        <w:numPr>
          <w:ilvl w:val="0"/>
          <w:numId w:val="7"/>
        </w:numPr>
        <w:jc w:val="both"/>
        <w:rPr>
          <w:sz w:val="26"/>
          <w:szCs w:val="26"/>
          <w:lang w:val="lv-LV"/>
        </w:rPr>
      </w:pPr>
    </w:p>
    <w:p w:rsidR="00246470" w:rsidRPr="00246470" w:rsidRDefault="00246470" w:rsidP="00246470">
      <w:pPr>
        <w:tabs>
          <w:tab w:val="left" w:pos="1134"/>
        </w:tabs>
        <w:ind w:firstLine="720"/>
        <w:jc w:val="both"/>
        <w:rPr>
          <w:sz w:val="26"/>
          <w:szCs w:val="26"/>
          <w:lang w:val="lv-LV"/>
        </w:rPr>
      </w:pPr>
      <w:r w:rsidRPr="00246470">
        <w:rPr>
          <w:sz w:val="26"/>
          <w:szCs w:val="26"/>
          <w:lang w:val="lv-LV"/>
        </w:rPr>
        <w:t xml:space="preserve"> </w:t>
      </w:r>
      <w:r w:rsidRPr="00246470">
        <w:rPr>
          <w:sz w:val="26"/>
          <w:szCs w:val="26"/>
          <w:lang w:val="lv-LV"/>
        </w:rPr>
        <w:t>(1)</w:t>
      </w:r>
      <w:r w:rsidRPr="00246470">
        <w:rPr>
          <w:sz w:val="26"/>
          <w:szCs w:val="26"/>
          <w:lang w:val="lv-LV"/>
        </w:rPr>
        <w:tab/>
        <w:t>RPP nav datu par pieteiktajām un izmaksātajām summām, kā arī par regresa gadījumiem, jo šāda informācija netiek pieprasīta. Visi jautājumi par autoservisu veiktajiem RPP transportlīdzekļu remontdarbiem tiek  risināti ar apdrošinātājiem uz savstarpēju līgumu pamata.</w:t>
      </w:r>
    </w:p>
    <w:p w:rsidR="00246470" w:rsidRPr="00246470" w:rsidRDefault="00246470" w:rsidP="00246470">
      <w:pPr>
        <w:tabs>
          <w:tab w:val="left" w:pos="1134"/>
        </w:tabs>
        <w:ind w:firstLine="720"/>
        <w:jc w:val="both"/>
        <w:rPr>
          <w:sz w:val="26"/>
          <w:szCs w:val="26"/>
          <w:lang w:val="lv-LV"/>
        </w:rPr>
      </w:pPr>
      <w:r w:rsidRPr="00246470">
        <w:rPr>
          <w:sz w:val="26"/>
          <w:szCs w:val="26"/>
          <w:lang w:val="lv-LV"/>
        </w:rPr>
        <w:t>(2)</w:t>
      </w:r>
      <w:r w:rsidRPr="00246470">
        <w:rPr>
          <w:sz w:val="26"/>
          <w:szCs w:val="26"/>
          <w:lang w:val="lv-LV"/>
        </w:rPr>
        <w:tab/>
        <w:t>Zādzību gadījumi nav bijuši. Ārpus izbraukumu laika, visi RPP transportlīdzekļi atrodas RPP apsargājamās teritorijās.</w:t>
      </w:r>
    </w:p>
    <w:p w:rsidR="00246470" w:rsidRPr="00246470" w:rsidRDefault="00246470" w:rsidP="00246470">
      <w:pPr>
        <w:tabs>
          <w:tab w:val="left" w:pos="1134"/>
        </w:tabs>
        <w:ind w:firstLine="720"/>
        <w:jc w:val="both"/>
        <w:rPr>
          <w:sz w:val="26"/>
          <w:szCs w:val="26"/>
          <w:lang w:val="lv-LV"/>
        </w:rPr>
      </w:pPr>
      <w:r w:rsidRPr="00246470">
        <w:rPr>
          <w:sz w:val="26"/>
          <w:szCs w:val="26"/>
          <w:lang w:val="lv-LV"/>
        </w:rPr>
        <w:t>(3)</w:t>
      </w:r>
      <w:r w:rsidRPr="00246470">
        <w:rPr>
          <w:sz w:val="26"/>
          <w:szCs w:val="26"/>
          <w:lang w:val="lv-LV"/>
        </w:rPr>
        <w:tab/>
        <w:t xml:space="preserve">2017.gadā bija viens veca operatīvā mikroautobusa bojāejas gadījums (bez personu nāves gadījumiem un ievainojumiem). Par atlīdzību informējam, ka tā bija pilna transportlīdzekļu vērtības summa, atskaitot nolietojumu un bojāejas </w:t>
      </w:r>
      <w:proofErr w:type="spellStart"/>
      <w:r w:rsidRPr="00246470">
        <w:rPr>
          <w:sz w:val="26"/>
          <w:szCs w:val="26"/>
          <w:lang w:val="lv-LV"/>
        </w:rPr>
        <w:t>pašriska</w:t>
      </w:r>
      <w:proofErr w:type="spellEnd"/>
      <w:r w:rsidRPr="00246470">
        <w:rPr>
          <w:sz w:val="26"/>
          <w:szCs w:val="26"/>
          <w:lang w:val="lv-LV"/>
        </w:rPr>
        <w:t xml:space="preserve"> summu.</w:t>
      </w:r>
    </w:p>
    <w:p w:rsidR="00246470" w:rsidRPr="00246470" w:rsidRDefault="00246470" w:rsidP="00246470">
      <w:pPr>
        <w:tabs>
          <w:tab w:val="left" w:pos="1134"/>
        </w:tabs>
        <w:ind w:firstLine="720"/>
        <w:jc w:val="both"/>
        <w:rPr>
          <w:sz w:val="26"/>
          <w:szCs w:val="26"/>
          <w:lang w:val="lv-LV"/>
        </w:rPr>
      </w:pPr>
    </w:p>
    <w:p w:rsidR="00246470" w:rsidRPr="00246470" w:rsidRDefault="00246470" w:rsidP="00246470">
      <w:pPr>
        <w:tabs>
          <w:tab w:val="left" w:pos="1134"/>
        </w:tabs>
        <w:ind w:firstLine="720"/>
        <w:jc w:val="both"/>
        <w:rPr>
          <w:sz w:val="26"/>
          <w:szCs w:val="26"/>
          <w:lang w:val="lv-LV"/>
        </w:rPr>
      </w:pPr>
      <w:r w:rsidRPr="00246470">
        <w:rPr>
          <w:sz w:val="26"/>
          <w:szCs w:val="26"/>
          <w:lang w:val="lv-LV"/>
        </w:rPr>
        <w:t>Norādām, ka tabulā noradīta informācija ir par 2015.-2017.gadiem un nav datu par 2018.gadu, jo pašlaik ir augusta mēnesis, līdz ar ko nevar salīdzināt 2015.-2017.gadu datus ar datiem par 8 mēnešiem 2018.gadā.</w:t>
      </w:r>
    </w:p>
    <w:p w:rsidR="00246470" w:rsidRPr="00246470" w:rsidRDefault="00246470" w:rsidP="00246470">
      <w:pPr>
        <w:tabs>
          <w:tab w:val="left" w:pos="1134"/>
        </w:tabs>
        <w:ind w:firstLine="720"/>
        <w:jc w:val="both"/>
        <w:rPr>
          <w:sz w:val="26"/>
          <w:szCs w:val="26"/>
          <w:lang w:val="lv-LV"/>
        </w:rPr>
      </w:pPr>
    </w:p>
    <w:p w:rsidR="00246470" w:rsidRPr="00246470" w:rsidRDefault="00246470" w:rsidP="00246470">
      <w:pPr>
        <w:pStyle w:val="Sarakstarindkopa"/>
        <w:numPr>
          <w:ilvl w:val="0"/>
          <w:numId w:val="7"/>
        </w:numPr>
        <w:tabs>
          <w:tab w:val="left" w:pos="993"/>
        </w:tabs>
        <w:ind w:left="0" w:firstLine="709"/>
        <w:jc w:val="both"/>
        <w:rPr>
          <w:sz w:val="26"/>
          <w:szCs w:val="26"/>
          <w:lang w:val="lv-LV"/>
        </w:rPr>
      </w:pPr>
      <w:r w:rsidRPr="00246470">
        <w:rPr>
          <w:sz w:val="26"/>
          <w:szCs w:val="26"/>
          <w:lang w:val="lv-LV"/>
        </w:rPr>
        <w:lastRenderedPageBreak/>
        <w:t>Trīs pēdējos gadus RPP transportlīdzekļu apdrošināšanu veica šādas kompānijas:</w:t>
      </w:r>
    </w:p>
    <w:p w:rsidR="00246470" w:rsidRPr="00246470" w:rsidRDefault="00246470" w:rsidP="00246470">
      <w:pPr>
        <w:jc w:val="both"/>
        <w:rPr>
          <w:sz w:val="26"/>
          <w:szCs w:val="26"/>
          <w:lang w:val="lv-LV"/>
        </w:rPr>
      </w:pPr>
    </w:p>
    <w:tbl>
      <w:tblPr>
        <w:tblStyle w:val="Reatabula"/>
        <w:tblW w:w="0" w:type="auto"/>
        <w:tblLook w:val="04A0" w:firstRow="1" w:lastRow="0" w:firstColumn="1" w:lastColumn="0" w:noHBand="0" w:noVBand="1"/>
      </w:tblPr>
      <w:tblGrid>
        <w:gridCol w:w="959"/>
        <w:gridCol w:w="4252"/>
      </w:tblGrid>
      <w:tr w:rsidR="00246470" w:rsidRPr="00246470" w:rsidTr="00E30012">
        <w:tc>
          <w:tcPr>
            <w:tcW w:w="959" w:type="dxa"/>
          </w:tcPr>
          <w:p w:rsidR="00246470" w:rsidRPr="00246470" w:rsidRDefault="00246470" w:rsidP="00E30012">
            <w:pPr>
              <w:jc w:val="right"/>
              <w:rPr>
                <w:sz w:val="26"/>
                <w:szCs w:val="26"/>
                <w:lang w:val="lv-LV"/>
              </w:rPr>
            </w:pPr>
            <w:r w:rsidRPr="00246470">
              <w:rPr>
                <w:sz w:val="26"/>
                <w:szCs w:val="26"/>
                <w:lang w:val="lv-LV"/>
              </w:rPr>
              <w:t>2017</w:t>
            </w:r>
          </w:p>
        </w:tc>
        <w:tc>
          <w:tcPr>
            <w:tcW w:w="4252" w:type="dxa"/>
          </w:tcPr>
          <w:p w:rsidR="00246470" w:rsidRPr="00246470" w:rsidRDefault="00246470" w:rsidP="00E30012">
            <w:pPr>
              <w:jc w:val="both"/>
              <w:rPr>
                <w:sz w:val="26"/>
                <w:szCs w:val="26"/>
                <w:lang w:val="lv-LV"/>
              </w:rPr>
            </w:pPr>
            <w:r w:rsidRPr="00246470">
              <w:rPr>
                <w:sz w:val="26"/>
                <w:szCs w:val="26"/>
                <w:lang w:val="lv-LV"/>
              </w:rPr>
              <w:t>AAS “BALTA”</w:t>
            </w:r>
          </w:p>
        </w:tc>
      </w:tr>
      <w:tr w:rsidR="00246470" w:rsidRPr="00246470" w:rsidTr="00E30012">
        <w:tc>
          <w:tcPr>
            <w:tcW w:w="959" w:type="dxa"/>
          </w:tcPr>
          <w:p w:rsidR="00246470" w:rsidRPr="00246470" w:rsidRDefault="00246470" w:rsidP="00E30012">
            <w:pPr>
              <w:jc w:val="right"/>
              <w:rPr>
                <w:sz w:val="26"/>
                <w:szCs w:val="26"/>
                <w:lang w:val="lv-LV"/>
              </w:rPr>
            </w:pPr>
            <w:r w:rsidRPr="00246470">
              <w:rPr>
                <w:sz w:val="26"/>
                <w:szCs w:val="26"/>
                <w:lang w:val="lv-LV"/>
              </w:rPr>
              <w:t>2016</w:t>
            </w:r>
          </w:p>
        </w:tc>
        <w:tc>
          <w:tcPr>
            <w:tcW w:w="4252" w:type="dxa"/>
          </w:tcPr>
          <w:p w:rsidR="00246470" w:rsidRPr="00246470" w:rsidRDefault="00246470" w:rsidP="00E30012">
            <w:pPr>
              <w:jc w:val="both"/>
              <w:rPr>
                <w:sz w:val="26"/>
                <w:szCs w:val="26"/>
                <w:lang w:val="lv-LV"/>
              </w:rPr>
            </w:pPr>
            <w:r w:rsidRPr="00246470">
              <w:rPr>
                <w:sz w:val="26"/>
                <w:szCs w:val="26"/>
                <w:lang w:val="lv-LV"/>
              </w:rPr>
              <w:t>AAS “GJENSIDIGE”</w:t>
            </w:r>
          </w:p>
        </w:tc>
      </w:tr>
      <w:tr w:rsidR="00246470" w:rsidRPr="00246470" w:rsidTr="00E30012">
        <w:tc>
          <w:tcPr>
            <w:tcW w:w="959" w:type="dxa"/>
          </w:tcPr>
          <w:p w:rsidR="00246470" w:rsidRPr="00246470" w:rsidRDefault="00246470" w:rsidP="00E30012">
            <w:pPr>
              <w:jc w:val="right"/>
              <w:rPr>
                <w:sz w:val="26"/>
                <w:szCs w:val="26"/>
                <w:lang w:val="lv-LV"/>
              </w:rPr>
            </w:pPr>
            <w:r w:rsidRPr="00246470">
              <w:rPr>
                <w:sz w:val="26"/>
                <w:szCs w:val="26"/>
                <w:lang w:val="lv-LV"/>
              </w:rPr>
              <w:t>2015</w:t>
            </w:r>
          </w:p>
        </w:tc>
        <w:tc>
          <w:tcPr>
            <w:tcW w:w="4252" w:type="dxa"/>
          </w:tcPr>
          <w:p w:rsidR="00246470" w:rsidRPr="00246470" w:rsidRDefault="00246470" w:rsidP="00E30012">
            <w:pPr>
              <w:jc w:val="both"/>
              <w:rPr>
                <w:sz w:val="26"/>
                <w:szCs w:val="26"/>
                <w:lang w:val="lv-LV"/>
              </w:rPr>
            </w:pPr>
            <w:r w:rsidRPr="00246470">
              <w:rPr>
                <w:sz w:val="26"/>
                <w:szCs w:val="26"/>
                <w:lang w:val="lv-LV"/>
              </w:rPr>
              <w:t>AAS “BALTIKUMS”</w:t>
            </w:r>
          </w:p>
        </w:tc>
      </w:tr>
    </w:tbl>
    <w:p w:rsidR="00246470" w:rsidRPr="00246470" w:rsidRDefault="00246470" w:rsidP="00246470">
      <w:pPr>
        <w:ind w:firstLine="720"/>
        <w:jc w:val="both"/>
        <w:rPr>
          <w:sz w:val="26"/>
          <w:szCs w:val="26"/>
          <w:lang w:val="lv-LV"/>
        </w:rPr>
      </w:pPr>
    </w:p>
    <w:p w:rsidR="00AF703A" w:rsidRPr="00246470" w:rsidRDefault="00246470" w:rsidP="00246470">
      <w:pPr>
        <w:pStyle w:val="Sarakstarindkopa"/>
        <w:numPr>
          <w:ilvl w:val="0"/>
          <w:numId w:val="7"/>
        </w:numPr>
        <w:tabs>
          <w:tab w:val="left" w:pos="993"/>
        </w:tabs>
        <w:ind w:left="0" w:firstLine="709"/>
        <w:jc w:val="both"/>
        <w:rPr>
          <w:sz w:val="26"/>
          <w:szCs w:val="26"/>
          <w:lang w:val="lv-LV"/>
        </w:rPr>
      </w:pPr>
      <w:r w:rsidRPr="00246470">
        <w:rPr>
          <w:sz w:val="26"/>
          <w:szCs w:val="26"/>
          <w:lang w:val="lv-LV"/>
        </w:rPr>
        <w:t>Policijas autoparks atjaunojas katru gadu. Šogad tiek plānots iegādāties 10 jaunus mikroautobusa tipa transportlīdzekļus. Pašlaik mums nav informācijas par mikroautobusu marku, modeli, kāds tiks piegādāts pēc iepirkuma līguma noslēgšanas. Arī nav precīza informācija par citu iespējamo transportlīdzekļu iegādi 2019.gadā.</w:t>
      </w:r>
    </w:p>
    <w:sectPr w:rsidR="00AF703A" w:rsidRPr="00246470" w:rsidSect="00383A41">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191B"/>
    <w:multiLevelType w:val="hybridMultilevel"/>
    <w:tmpl w:val="C2F81B62"/>
    <w:lvl w:ilvl="0" w:tplc="02B432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A400C7D"/>
    <w:multiLevelType w:val="hybridMultilevel"/>
    <w:tmpl w:val="EF2E51E4"/>
    <w:lvl w:ilvl="0" w:tplc="F5B82762">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C1A1B04"/>
    <w:multiLevelType w:val="hybridMultilevel"/>
    <w:tmpl w:val="E5580F32"/>
    <w:lvl w:ilvl="0" w:tplc="027003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3593D17"/>
    <w:multiLevelType w:val="hybridMultilevel"/>
    <w:tmpl w:val="ADF0818A"/>
    <w:lvl w:ilvl="0" w:tplc="0CAEC3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0DD4461"/>
    <w:multiLevelType w:val="hybridMultilevel"/>
    <w:tmpl w:val="B52AA2D6"/>
    <w:lvl w:ilvl="0" w:tplc="5E460D68">
      <w:start w:val="1"/>
      <w:numFmt w:val="decimal"/>
      <w:lvlText w:val="%1."/>
      <w:lvlJc w:val="left"/>
      <w:pPr>
        <w:ind w:left="2430" w:hanging="171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66D13C1"/>
    <w:multiLevelType w:val="hybridMultilevel"/>
    <w:tmpl w:val="292AA1D6"/>
    <w:lvl w:ilvl="0" w:tplc="157EC6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915642F"/>
    <w:multiLevelType w:val="hybridMultilevel"/>
    <w:tmpl w:val="5406F862"/>
    <w:lvl w:ilvl="0" w:tplc="1BCCA2A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A3"/>
    <w:rsid w:val="000618A7"/>
    <w:rsid w:val="00116547"/>
    <w:rsid w:val="00196C58"/>
    <w:rsid w:val="001B62B5"/>
    <w:rsid w:val="001E5CDB"/>
    <w:rsid w:val="00246470"/>
    <w:rsid w:val="0028382C"/>
    <w:rsid w:val="00355A93"/>
    <w:rsid w:val="00380103"/>
    <w:rsid w:val="0038119F"/>
    <w:rsid w:val="00383A41"/>
    <w:rsid w:val="003F3FAC"/>
    <w:rsid w:val="004A1EC1"/>
    <w:rsid w:val="004E4731"/>
    <w:rsid w:val="00500E3A"/>
    <w:rsid w:val="005238C9"/>
    <w:rsid w:val="00534CB7"/>
    <w:rsid w:val="006534F8"/>
    <w:rsid w:val="006934A7"/>
    <w:rsid w:val="006E7D43"/>
    <w:rsid w:val="00782A24"/>
    <w:rsid w:val="008416D3"/>
    <w:rsid w:val="00843ABD"/>
    <w:rsid w:val="008741C6"/>
    <w:rsid w:val="00915DB1"/>
    <w:rsid w:val="00AF703A"/>
    <w:rsid w:val="00B90343"/>
    <w:rsid w:val="00B94BDC"/>
    <w:rsid w:val="00BA7FC2"/>
    <w:rsid w:val="00C1174F"/>
    <w:rsid w:val="00CD608A"/>
    <w:rsid w:val="00D72EA3"/>
    <w:rsid w:val="00DE315F"/>
    <w:rsid w:val="00DE4F3C"/>
    <w:rsid w:val="00E750F6"/>
    <w:rsid w:val="00FB0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3A41"/>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styleId="Hipersaite">
    <w:name w:val="Hyperlink"/>
    <w:uiPriority w:val="99"/>
    <w:semiHidden/>
    <w:unhideWhenUsed/>
    <w:rsid w:val="00383A41"/>
    <w:rPr>
      <w:color w:val="0000FF"/>
      <w:u w:val="single"/>
    </w:rPr>
  </w:style>
  <w:style w:type="paragraph" w:styleId="Parakstszemobjekta">
    <w:name w:val="caption"/>
    <w:basedOn w:val="Parasts"/>
    <w:next w:val="Parasts"/>
    <w:uiPriority w:val="99"/>
    <w:semiHidden/>
    <w:unhideWhenUsed/>
    <w:qFormat/>
    <w:rsid w:val="00383A41"/>
    <w:pPr>
      <w:jc w:val="center"/>
    </w:pPr>
    <w:rPr>
      <w:sz w:val="40"/>
      <w:szCs w:val="40"/>
      <w:lang w:val="lv-LV"/>
    </w:rPr>
  </w:style>
  <w:style w:type="paragraph" w:styleId="Balonteksts">
    <w:name w:val="Balloon Text"/>
    <w:basedOn w:val="Parasts"/>
    <w:link w:val="BalontekstsRakstz"/>
    <w:uiPriority w:val="99"/>
    <w:semiHidden/>
    <w:unhideWhenUsed/>
    <w:rsid w:val="00383A4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83A41"/>
    <w:rPr>
      <w:rFonts w:ascii="Tahoma" w:eastAsia="Times New Roman" w:hAnsi="Tahoma" w:cs="Tahoma"/>
      <w:sz w:val="16"/>
      <w:szCs w:val="16"/>
      <w:lang w:val="en-US"/>
    </w:rPr>
  </w:style>
  <w:style w:type="paragraph" w:styleId="Sarakstarindkopa">
    <w:name w:val="List Paragraph"/>
    <w:basedOn w:val="Parasts"/>
    <w:uiPriority w:val="34"/>
    <w:qFormat/>
    <w:rsid w:val="00843ABD"/>
    <w:pPr>
      <w:ind w:left="720"/>
      <w:contextualSpacing/>
    </w:pPr>
  </w:style>
  <w:style w:type="table" w:styleId="Reatabula">
    <w:name w:val="Table Grid"/>
    <w:basedOn w:val="Parastatabula"/>
    <w:uiPriority w:val="59"/>
    <w:rsid w:val="0024647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3A41"/>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styleId="Hipersaite">
    <w:name w:val="Hyperlink"/>
    <w:uiPriority w:val="99"/>
    <w:semiHidden/>
    <w:unhideWhenUsed/>
    <w:rsid w:val="00383A41"/>
    <w:rPr>
      <w:color w:val="0000FF"/>
      <w:u w:val="single"/>
    </w:rPr>
  </w:style>
  <w:style w:type="paragraph" w:styleId="Parakstszemobjekta">
    <w:name w:val="caption"/>
    <w:basedOn w:val="Parasts"/>
    <w:next w:val="Parasts"/>
    <w:uiPriority w:val="99"/>
    <w:semiHidden/>
    <w:unhideWhenUsed/>
    <w:qFormat/>
    <w:rsid w:val="00383A41"/>
    <w:pPr>
      <w:jc w:val="center"/>
    </w:pPr>
    <w:rPr>
      <w:sz w:val="40"/>
      <w:szCs w:val="40"/>
      <w:lang w:val="lv-LV"/>
    </w:rPr>
  </w:style>
  <w:style w:type="paragraph" w:styleId="Balonteksts">
    <w:name w:val="Balloon Text"/>
    <w:basedOn w:val="Parasts"/>
    <w:link w:val="BalontekstsRakstz"/>
    <w:uiPriority w:val="99"/>
    <w:semiHidden/>
    <w:unhideWhenUsed/>
    <w:rsid w:val="00383A4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83A41"/>
    <w:rPr>
      <w:rFonts w:ascii="Tahoma" w:eastAsia="Times New Roman" w:hAnsi="Tahoma" w:cs="Tahoma"/>
      <w:sz w:val="16"/>
      <w:szCs w:val="16"/>
      <w:lang w:val="en-US"/>
    </w:rPr>
  </w:style>
  <w:style w:type="paragraph" w:styleId="Sarakstarindkopa">
    <w:name w:val="List Paragraph"/>
    <w:basedOn w:val="Parasts"/>
    <w:uiPriority w:val="34"/>
    <w:qFormat/>
    <w:rsid w:val="00843ABD"/>
    <w:pPr>
      <w:ind w:left="720"/>
      <w:contextualSpacing/>
    </w:pPr>
  </w:style>
  <w:style w:type="table" w:styleId="Reatabula">
    <w:name w:val="Table Grid"/>
    <w:basedOn w:val="Parastatabula"/>
    <w:uiPriority w:val="59"/>
    <w:rsid w:val="0024647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934">
      <w:bodyDiv w:val="1"/>
      <w:marLeft w:val="0"/>
      <w:marRight w:val="0"/>
      <w:marTop w:val="0"/>
      <w:marBottom w:val="0"/>
      <w:divBdr>
        <w:top w:val="none" w:sz="0" w:space="0" w:color="auto"/>
        <w:left w:val="none" w:sz="0" w:space="0" w:color="auto"/>
        <w:bottom w:val="none" w:sz="0" w:space="0" w:color="auto"/>
        <w:right w:val="none" w:sz="0" w:space="0" w:color="auto"/>
      </w:divBdr>
    </w:div>
    <w:div w:id="206963506">
      <w:bodyDiv w:val="1"/>
      <w:marLeft w:val="0"/>
      <w:marRight w:val="0"/>
      <w:marTop w:val="0"/>
      <w:marBottom w:val="0"/>
      <w:divBdr>
        <w:top w:val="none" w:sz="0" w:space="0" w:color="auto"/>
        <w:left w:val="none" w:sz="0" w:space="0" w:color="auto"/>
        <w:bottom w:val="none" w:sz="0" w:space="0" w:color="auto"/>
        <w:right w:val="none" w:sz="0" w:space="0" w:color="auto"/>
      </w:divBdr>
    </w:div>
    <w:div w:id="474370123">
      <w:bodyDiv w:val="1"/>
      <w:marLeft w:val="0"/>
      <w:marRight w:val="0"/>
      <w:marTop w:val="0"/>
      <w:marBottom w:val="0"/>
      <w:divBdr>
        <w:top w:val="none" w:sz="0" w:space="0" w:color="auto"/>
        <w:left w:val="none" w:sz="0" w:space="0" w:color="auto"/>
        <w:bottom w:val="none" w:sz="0" w:space="0" w:color="auto"/>
        <w:right w:val="none" w:sz="0" w:space="0" w:color="auto"/>
      </w:divBdr>
    </w:div>
    <w:div w:id="500199402">
      <w:bodyDiv w:val="1"/>
      <w:marLeft w:val="0"/>
      <w:marRight w:val="0"/>
      <w:marTop w:val="0"/>
      <w:marBottom w:val="0"/>
      <w:divBdr>
        <w:top w:val="none" w:sz="0" w:space="0" w:color="auto"/>
        <w:left w:val="none" w:sz="0" w:space="0" w:color="auto"/>
        <w:bottom w:val="none" w:sz="0" w:space="0" w:color="auto"/>
        <w:right w:val="none" w:sz="0" w:space="0" w:color="auto"/>
      </w:divBdr>
    </w:div>
    <w:div w:id="661542018">
      <w:bodyDiv w:val="1"/>
      <w:marLeft w:val="0"/>
      <w:marRight w:val="0"/>
      <w:marTop w:val="0"/>
      <w:marBottom w:val="0"/>
      <w:divBdr>
        <w:top w:val="none" w:sz="0" w:space="0" w:color="auto"/>
        <w:left w:val="none" w:sz="0" w:space="0" w:color="auto"/>
        <w:bottom w:val="none" w:sz="0" w:space="0" w:color="auto"/>
        <w:right w:val="none" w:sz="0" w:space="0" w:color="auto"/>
      </w:divBdr>
    </w:div>
    <w:div w:id="1597668888">
      <w:bodyDiv w:val="1"/>
      <w:marLeft w:val="0"/>
      <w:marRight w:val="0"/>
      <w:marTop w:val="0"/>
      <w:marBottom w:val="0"/>
      <w:divBdr>
        <w:top w:val="none" w:sz="0" w:space="0" w:color="auto"/>
        <w:left w:val="none" w:sz="0" w:space="0" w:color="auto"/>
        <w:bottom w:val="none" w:sz="0" w:space="0" w:color="auto"/>
        <w:right w:val="none" w:sz="0" w:space="0" w:color="auto"/>
      </w:divBdr>
    </w:div>
    <w:div w:id="1770349366">
      <w:bodyDiv w:val="1"/>
      <w:marLeft w:val="0"/>
      <w:marRight w:val="0"/>
      <w:marTop w:val="0"/>
      <w:marBottom w:val="0"/>
      <w:divBdr>
        <w:top w:val="none" w:sz="0" w:space="0" w:color="auto"/>
        <w:left w:val="none" w:sz="0" w:space="0" w:color="auto"/>
        <w:bottom w:val="none" w:sz="0" w:space="0" w:color="auto"/>
        <w:right w:val="none" w:sz="0" w:space="0" w:color="auto"/>
      </w:divBdr>
    </w:div>
    <w:div w:id="17965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1868</Words>
  <Characters>1066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Straume</dc:creator>
  <cp:lastModifiedBy>Roberts Straume</cp:lastModifiedBy>
  <cp:revision>6</cp:revision>
  <cp:lastPrinted>2018-08-07T11:09:00Z</cp:lastPrinted>
  <dcterms:created xsi:type="dcterms:W3CDTF">2018-08-28T06:06:00Z</dcterms:created>
  <dcterms:modified xsi:type="dcterms:W3CDTF">2018-08-29T08:42:00Z</dcterms:modified>
</cp:coreProperties>
</file>