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C167" w14:textId="7BDEF4DD" w:rsidR="00E36086" w:rsidRPr="00E36086" w:rsidRDefault="00E36086" w:rsidP="00E36086">
      <w:pPr>
        <w:suppressAutoHyphens w:val="0"/>
        <w:jc w:val="right"/>
        <w:textAlignment w:val="baseline"/>
        <w:rPr>
          <w:rFonts w:ascii="Segoe UI" w:hAnsi="Segoe UI" w:cs="Segoe UI"/>
          <w:sz w:val="18"/>
          <w:szCs w:val="18"/>
          <w:lang w:eastAsia="lv-LV"/>
        </w:rPr>
      </w:pPr>
      <w:r>
        <w:rPr>
          <w:i/>
          <w:iCs/>
          <w:sz w:val="20"/>
          <w:szCs w:val="20"/>
          <w:lang w:eastAsia="lv-LV"/>
        </w:rPr>
        <w:t>2</w:t>
      </w:r>
      <w:r w:rsidRPr="00E36086">
        <w:rPr>
          <w:i/>
          <w:iCs/>
          <w:sz w:val="20"/>
          <w:szCs w:val="20"/>
          <w:lang w:eastAsia="lv-LV"/>
        </w:rPr>
        <w:t>. pielikums Tirgus izpētei Nr. 11</w:t>
      </w:r>
    </w:p>
    <w:p w14:paraId="6FB942BD" w14:textId="77777777" w:rsidR="00E36086" w:rsidRPr="00E36086" w:rsidRDefault="00E36086" w:rsidP="00E36086">
      <w:pPr>
        <w:suppressAutoHyphens w:val="0"/>
        <w:jc w:val="right"/>
        <w:textAlignment w:val="baseline"/>
        <w:rPr>
          <w:rFonts w:ascii="Segoe UI" w:hAnsi="Segoe UI" w:cs="Segoe UI"/>
          <w:sz w:val="20"/>
          <w:szCs w:val="20"/>
          <w:lang w:eastAsia="lv-LV"/>
        </w:rPr>
      </w:pPr>
      <w:r w:rsidRPr="00E36086">
        <w:rPr>
          <w:i/>
          <w:iCs/>
          <w:sz w:val="20"/>
          <w:szCs w:val="20"/>
          <w:lang w:eastAsia="lv-LV"/>
        </w:rPr>
        <w:t xml:space="preserve">“Par </w:t>
      </w:r>
      <w:r w:rsidRPr="00E36086">
        <w:rPr>
          <w:rFonts w:eastAsiaTheme="minorHAnsi"/>
          <w:i/>
          <w:iCs/>
          <w:kern w:val="2"/>
          <w:sz w:val="20"/>
          <w:szCs w:val="20"/>
          <w:lang w:eastAsia="en-US"/>
          <w14:ligatures w14:val="standardContextual"/>
        </w:rPr>
        <w:t>dabasgāzes iegādi</w:t>
      </w:r>
      <w:r w:rsidRPr="00E36086">
        <w:rPr>
          <w:i/>
          <w:iCs/>
          <w:sz w:val="20"/>
          <w:szCs w:val="20"/>
          <w:lang w:eastAsia="lv-LV"/>
        </w:rPr>
        <w:t>”</w:t>
      </w:r>
      <w:r w:rsidRPr="00E36086">
        <w:rPr>
          <w:sz w:val="20"/>
          <w:szCs w:val="20"/>
          <w:lang w:eastAsia="lv-LV"/>
        </w:rPr>
        <w:t> </w:t>
      </w:r>
    </w:p>
    <w:p w14:paraId="57BA49A6" w14:textId="77777777" w:rsidR="00E36086" w:rsidRDefault="00E36086" w:rsidP="00B77F99">
      <w:pPr>
        <w:suppressAutoHyphens w:val="0"/>
        <w:jc w:val="center"/>
        <w:rPr>
          <w:b/>
          <w:sz w:val="26"/>
          <w:szCs w:val="26"/>
          <w:lang w:eastAsia="lv-LV"/>
        </w:rPr>
      </w:pPr>
    </w:p>
    <w:p w14:paraId="328758B4" w14:textId="5B72A1E9" w:rsidR="00B77F99" w:rsidRPr="00E64579" w:rsidRDefault="00000000" w:rsidP="00B77F99">
      <w:pPr>
        <w:suppressAutoHyphens w:val="0"/>
        <w:jc w:val="center"/>
        <w:rPr>
          <w:b/>
          <w:sz w:val="26"/>
          <w:szCs w:val="26"/>
          <w:lang w:eastAsia="lv-LV"/>
        </w:rPr>
      </w:pPr>
      <w:r w:rsidRPr="00E64579">
        <w:rPr>
          <w:b/>
          <w:sz w:val="26"/>
          <w:szCs w:val="26"/>
          <w:lang w:eastAsia="lv-LV"/>
        </w:rPr>
        <w:t>TEHNISKĀ SPECIFIKĀCIJA-FINANŠU PIEDĀVĀJUMS</w:t>
      </w:r>
    </w:p>
    <w:p w14:paraId="0D62B940" w14:textId="2A59D099" w:rsidR="00B77F99" w:rsidRPr="00CE21FE" w:rsidRDefault="00000000" w:rsidP="00B77F99">
      <w:pPr>
        <w:suppressAutoHyphens w:val="0"/>
        <w:jc w:val="center"/>
        <w:rPr>
          <w:b/>
          <w:bCs/>
          <w:sz w:val="26"/>
          <w:szCs w:val="26"/>
          <w:lang w:eastAsia="lv-LV"/>
        </w:rPr>
      </w:pPr>
      <w:r w:rsidRPr="00CE21FE">
        <w:rPr>
          <w:b/>
          <w:bCs/>
          <w:sz w:val="26"/>
          <w:szCs w:val="26"/>
          <w:lang w:eastAsia="lv-LV"/>
        </w:rPr>
        <w:t>“Par dabasgāzes iegādi”</w:t>
      </w:r>
    </w:p>
    <w:p w14:paraId="1F698725" w14:textId="77777777" w:rsidR="00B77F99" w:rsidRPr="00894DEF" w:rsidRDefault="00B77F99" w:rsidP="00B77F99">
      <w:pPr>
        <w:jc w:val="both"/>
        <w:rPr>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7"/>
      </w:tblGrid>
      <w:tr w:rsidR="007D4E60" w14:paraId="23D70E4F" w14:textId="77777777" w:rsidTr="002D2C58">
        <w:tc>
          <w:tcPr>
            <w:tcW w:w="4248" w:type="dxa"/>
            <w:shd w:val="clear" w:color="auto" w:fill="D9D9D9"/>
            <w:vAlign w:val="center"/>
          </w:tcPr>
          <w:p w14:paraId="2E726771" w14:textId="77777777" w:rsidR="00B77F99" w:rsidRPr="002D2C58" w:rsidRDefault="00000000" w:rsidP="002D2C58">
            <w:pPr>
              <w:jc w:val="center"/>
              <w:rPr>
                <w:bCs/>
                <w:iCs/>
                <w:szCs w:val="28"/>
              </w:rPr>
            </w:pPr>
            <w:r w:rsidRPr="002D2C58">
              <w:rPr>
                <w:b/>
                <w:bCs/>
                <w:iCs/>
                <w:szCs w:val="28"/>
              </w:rPr>
              <w:t>Gazificētā objekta adrese</w:t>
            </w:r>
          </w:p>
        </w:tc>
        <w:tc>
          <w:tcPr>
            <w:tcW w:w="5097" w:type="dxa"/>
            <w:shd w:val="clear" w:color="auto" w:fill="D9D9D9"/>
            <w:vAlign w:val="center"/>
          </w:tcPr>
          <w:p w14:paraId="75F71B16" w14:textId="77777777" w:rsidR="00B77F99" w:rsidRPr="002D2C58" w:rsidRDefault="00000000" w:rsidP="002D2C58">
            <w:pPr>
              <w:rPr>
                <w:b/>
                <w:bCs/>
                <w:iCs/>
                <w:szCs w:val="28"/>
              </w:rPr>
            </w:pPr>
            <w:r w:rsidRPr="002D2C58">
              <w:rPr>
                <w:b/>
                <w:bCs/>
                <w:iCs/>
                <w:szCs w:val="28"/>
              </w:rPr>
              <w:t>Dabasgāzes patēriņš gadā</w:t>
            </w:r>
          </w:p>
        </w:tc>
      </w:tr>
      <w:tr w:rsidR="007D4E60" w14:paraId="0FD65A98" w14:textId="77777777" w:rsidTr="002D2C58">
        <w:trPr>
          <w:trHeight w:val="477"/>
        </w:trPr>
        <w:tc>
          <w:tcPr>
            <w:tcW w:w="4248" w:type="dxa"/>
            <w:shd w:val="clear" w:color="auto" w:fill="auto"/>
            <w:vAlign w:val="center"/>
          </w:tcPr>
          <w:p w14:paraId="0C4CB529" w14:textId="77777777" w:rsidR="00B77F99" w:rsidRPr="00894DEF" w:rsidRDefault="00000000" w:rsidP="002D2C58">
            <w:pPr>
              <w:jc w:val="center"/>
              <w:rPr>
                <w:bCs/>
                <w:i/>
                <w:szCs w:val="28"/>
              </w:rPr>
            </w:pPr>
            <w:r w:rsidRPr="00E64579">
              <w:rPr>
                <w:sz w:val="26"/>
                <w:szCs w:val="26"/>
                <w:lang w:eastAsia="lv-LV"/>
              </w:rPr>
              <w:t>Daugavpils ielā 9, Rīgā</w:t>
            </w:r>
          </w:p>
        </w:tc>
        <w:tc>
          <w:tcPr>
            <w:tcW w:w="5097" w:type="dxa"/>
            <w:shd w:val="clear" w:color="auto" w:fill="auto"/>
            <w:vAlign w:val="center"/>
          </w:tcPr>
          <w:p w14:paraId="75CE8BCE" w14:textId="77777777" w:rsidR="00B77F99" w:rsidRPr="00894DEF" w:rsidRDefault="00000000" w:rsidP="0097720C">
            <w:pPr>
              <w:jc w:val="center"/>
              <w:rPr>
                <w:bCs/>
                <w:i/>
                <w:szCs w:val="28"/>
              </w:rPr>
            </w:pPr>
            <w:r w:rsidRPr="00894DEF">
              <w:rPr>
                <w:sz w:val="26"/>
                <w:szCs w:val="26"/>
                <w:lang w:eastAsia="en-US"/>
              </w:rPr>
              <w:t>13 500 m3 (142</w:t>
            </w:r>
            <w:r w:rsidR="0097720C">
              <w:rPr>
                <w:sz w:val="26"/>
                <w:szCs w:val="26"/>
                <w:lang w:eastAsia="en-US"/>
              </w:rPr>
              <w:t xml:space="preserve"> </w:t>
            </w:r>
            <w:r w:rsidRPr="00894DEF">
              <w:rPr>
                <w:sz w:val="26"/>
                <w:szCs w:val="26"/>
                <w:lang w:eastAsia="en-US"/>
              </w:rPr>
              <w:t>425 kWh)*</w:t>
            </w:r>
          </w:p>
        </w:tc>
      </w:tr>
    </w:tbl>
    <w:p w14:paraId="2D5E3D54" w14:textId="77777777" w:rsidR="00B77F99" w:rsidRDefault="00B77F99" w:rsidP="00B77F99">
      <w:pPr>
        <w:jc w:val="both"/>
        <w:rPr>
          <w:iCs/>
          <w:szCs w:val="28"/>
        </w:rPr>
      </w:pPr>
    </w:p>
    <w:p w14:paraId="13639DA1" w14:textId="77777777" w:rsidR="00116983" w:rsidRDefault="00000000" w:rsidP="00B77F99">
      <w:pPr>
        <w:jc w:val="both"/>
        <w:rPr>
          <w:sz w:val="22"/>
          <w:szCs w:val="22"/>
        </w:rPr>
      </w:pPr>
      <w:r>
        <w:rPr>
          <w:sz w:val="22"/>
          <w:szCs w:val="22"/>
        </w:rPr>
        <w:t>* Norādītais apjoms ir uzskatāms par prognozējamu</w:t>
      </w:r>
      <w:r w:rsidR="00E3490C">
        <w:rPr>
          <w:sz w:val="22"/>
          <w:szCs w:val="22"/>
        </w:rPr>
        <w:t>/plānotu</w:t>
      </w:r>
      <w:r>
        <w:rPr>
          <w:sz w:val="22"/>
          <w:szCs w:val="22"/>
        </w:rPr>
        <w:t xml:space="preserve"> 1 (viena) gada apjomam</w:t>
      </w:r>
      <w:r w:rsidRPr="000E4013">
        <w:rPr>
          <w:sz w:val="22"/>
          <w:szCs w:val="22"/>
        </w:rPr>
        <w:t xml:space="preserve"> līguma darbības </w:t>
      </w:r>
      <w:r>
        <w:rPr>
          <w:sz w:val="22"/>
          <w:szCs w:val="22"/>
        </w:rPr>
        <w:t>termiņā. Pircējs</w:t>
      </w:r>
      <w:r w:rsidRPr="000E4013">
        <w:rPr>
          <w:sz w:val="22"/>
          <w:szCs w:val="22"/>
        </w:rPr>
        <w:t xml:space="preserve"> ir tiesīgs iegādāties tādu dabasgāzes apjomu, kāds nepieciešams</w:t>
      </w:r>
      <w:r>
        <w:rPr>
          <w:sz w:val="22"/>
          <w:szCs w:val="22"/>
        </w:rPr>
        <w:t xml:space="preserve"> Pircēja</w:t>
      </w:r>
      <w:r w:rsidRPr="000E4013">
        <w:rPr>
          <w:sz w:val="22"/>
          <w:szCs w:val="22"/>
        </w:rPr>
        <w:t xml:space="preserve"> darbības nodrošināšanai un samazināt vai palielināt norādīto apjomu atkarībā no gada sezonas un laika apstākļiem.</w:t>
      </w:r>
    </w:p>
    <w:p w14:paraId="6FA2E25B" w14:textId="77777777" w:rsidR="00116983" w:rsidRPr="002D2C58" w:rsidRDefault="00116983" w:rsidP="00B77F99">
      <w:pPr>
        <w:jc w:val="both"/>
        <w:rPr>
          <w:i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7D4E60" w14:paraId="475B7BD9" w14:textId="77777777" w:rsidTr="00CE21FE">
        <w:trPr>
          <w:trHeight w:val="786"/>
        </w:trPr>
        <w:tc>
          <w:tcPr>
            <w:tcW w:w="4253" w:type="dxa"/>
            <w:vAlign w:val="center"/>
          </w:tcPr>
          <w:p w14:paraId="56D2B817" w14:textId="77777777" w:rsidR="00B77F99" w:rsidRPr="001739B0" w:rsidRDefault="00000000" w:rsidP="00CE21FE">
            <w:pPr>
              <w:jc w:val="center"/>
              <w:rPr>
                <w:b/>
              </w:rPr>
            </w:pPr>
            <w:r w:rsidRPr="001739B0">
              <w:rPr>
                <w:b/>
              </w:rPr>
              <w:t>Pozīcija</w:t>
            </w:r>
          </w:p>
        </w:tc>
        <w:tc>
          <w:tcPr>
            <w:tcW w:w="5103" w:type="dxa"/>
            <w:vAlign w:val="center"/>
          </w:tcPr>
          <w:p w14:paraId="6CED2E15" w14:textId="77777777" w:rsidR="00B77F99" w:rsidRPr="001739B0" w:rsidRDefault="00000000" w:rsidP="00CE21FE">
            <w:pPr>
              <w:jc w:val="center"/>
              <w:rPr>
                <w:b/>
              </w:rPr>
            </w:pPr>
            <w:r w:rsidRPr="001739B0">
              <w:rPr>
                <w:b/>
              </w:rPr>
              <w:t>Cena par 1</w:t>
            </w:r>
            <w:r w:rsidR="000425F4">
              <w:t xml:space="preserve"> </w:t>
            </w:r>
            <w:r w:rsidR="000425F4" w:rsidRPr="002D1C5F">
              <w:rPr>
                <w:b/>
                <w:bCs/>
              </w:rPr>
              <w:t>kWh</w:t>
            </w:r>
          </w:p>
          <w:p w14:paraId="620DD2C3" w14:textId="77777777" w:rsidR="00B77F99" w:rsidRPr="000425F4" w:rsidRDefault="00000000" w:rsidP="000425F4">
            <w:pPr>
              <w:jc w:val="center"/>
              <w:rPr>
                <w:b/>
                <w:i/>
              </w:rPr>
            </w:pPr>
            <w:r w:rsidRPr="001739B0">
              <w:t>EUR bez PVN**</w:t>
            </w:r>
            <w:r w:rsidRPr="001739B0">
              <w:rPr>
                <w:b/>
                <w:i/>
              </w:rPr>
              <w:t xml:space="preserve"> </w:t>
            </w:r>
          </w:p>
        </w:tc>
      </w:tr>
      <w:tr w:rsidR="007D4E60" w14:paraId="02CA4F5A" w14:textId="77777777" w:rsidTr="00CE21FE">
        <w:trPr>
          <w:trHeight w:val="732"/>
        </w:trPr>
        <w:tc>
          <w:tcPr>
            <w:tcW w:w="4253" w:type="dxa"/>
            <w:vAlign w:val="center"/>
          </w:tcPr>
          <w:p w14:paraId="1BAB1B16" w14:textId="77777777" w:rsidR="00B77F99" w:rsidRPr="00BB2285" w:rsidRDefault="00000000" w:rsidP="00CE21FE">
            <w:pPr>
              <w:jc w:val="center"/>
            </w:pPr>
            <w:r>
              <w:rPr>
                <w:b/>
              </w:rPr>
              <w:t>Tirgotāja uzcenojums (X) EUR/</w:t>
            </w:r>
            <w:r w:rsidR="0016441B">
              <w:t xml:space="preserve"> </w:t>
            </w:r>
            <w:r w:rsidR="0016441B" w:rsidRPr="002D1C5F">
              <w:rPr>
                <w:b/>
                <w:bCs/>
              </w:rPr>
              <w:t>kWh</w:t>
            </w:r>
          </w:p>
        </w:tc>
        <w:tc>
          <w:tcPr>
            <w:tcW w:w="5103" w:type="dxa"/>
            <w:vAlign w:val="center"/>
          </w:tcPr>
          <w:p w14:paraId="0E3ADA03" w14:textId="77777777" w:rsidR="00B77F99" w:rsidRPr="005849E2" w:rsidRDefault="00B77F99" w:rsidP="00CE21FE">
            <w:pPr>
              <w:jc w:val="center"/>
              <w:rPr>
                <w:b/>
              </w:rPr>
            </w:pPr>
          </w:p>
        </w:tc>
      </w:tr>
    </w:tbl>
    <w:p w14:paraId="2652F442" w14:textId="77777777" w:rsidR="00B77F99" w:rsidRPr="00E64579" w:rsidRDefault="00000000" w:rsidP="00B77F99">
      <w:pPr>
        <w:tabs>
          <w:tab w:val="left" w:pos="5745"/>
        </w:tabs>
        <w:suppressAutoHyphens w:val="0"/>
        <w:rPr>
          <w:sz w:val="26"/>
          <w:szCs w:val="26"/>
          <w:lang w:eastAsia="lv-LV"/>
        </w:rPr>
      </w:pPr>
      <w:r w:rsidRPr="00E64579">
        <w:rPr>
          <w:sz w:val="26"/>
          <w:szCs w:val="26"/>
          <w:lang w:eastAsia="lv-LV"/>
        </w:rPr>
        <w:tab/>
      </w:r>
    </w:p>
    <w:p w14:paraId="5771432C" w14:textId="77777777" w:rsidR="00B77F99" w:rsidRDefault="00B77F99" w:rsidP="00B77F99">
      <w:pPr>
        <w:contextualSpacing/>
        <w:jc w:val="both"/>
        <w:rPr>
          <w:sz w:val="22"/>
          <w:szCs w:val="22"/>
          <w:lang w:eastAsia="lv-LV"/>
        </w:rPr>
      </w:pPr>
      <w:bookmarkStart w:id="0" w:name="_Hlk106021102"/>
    </w:p>
    <w:bookmarkEnd w:id="0"/>
    <w:p w14:paraId="2F2ACC7F" w14:textId="77777777" w:rsidR="00B77F99" w:rsidRPr="001739B0" w:rsidRDefault="00000000" w:rsidP="00B77F99">
      <w:pPr>
        <w:contextualSpacing/>
        <w:jc w:val="both"/>
        <w:rPr>
          <w:sz w:val="22"/>
          <w:szCs w:val="22"/>
          <w:lang w:eastAsia="lv-LV"/>
        </w:rPr>
      </w:pPr>
      <w:r>
        <w:rPr>
          <w:sz w:val="22"/>
          <w:szCs w:val="22"/>
        </w:rPr>
        <w:t>*</w:t>
      </w:r>
      <w:r w:rsidRPr="001739B0">
        <w:t>*</w:t>
      </w:r>
      <w:r>
        <w:rPr>
          <w:sz w:val="22"/>
          <w:szCs w:val="22"/>
        </w:rPr>
        <w:t xml:space="preserve"> </w:t>
      </w:r>
      <w:r>
        <w:rPr>
          <w:sz w:val="22"/>
          <w:szCs w:val="22"/>
          <w:lang w:eastAsia="lv-LV"/>
        </w:rPr>
        <w:t>P</w:t>
      </w:r>
      <w:r w:rsidRPr="001739B0">
        <w:rPr>
          <w:sz w:val="22"/>
          <w:szCs w:val="22"/>
          <w:lang w:eastAsia="lv-LV"/>
        </w:rPr>
        <w:t>retendents nosaka tirgotāja uzcenojumu (X) pie nākamā mēneša TTF</w:t>
      </w:r>
      <w:r w:rsidRPr="00CE21FE">
        <w:rPr>
          <w:sz w:val="22"/>
          <w:szCs w:val="22"/>
          <w:vertAlign w:val="subscript"/>
          <w:lang w:eastAsia="lv-LV"/>
        </w:rPr>
        <w:t>fm</w:t>
      </w:r>
      <w:r w:rsidRPr="001739B0">
        <w:rPr>
          <w:sz w:val="22"/>
          <w:szCs w:val="22"/>
          <w:lang w:eastAsia="lv-LV"/>
        </w:rPr>
        <w:t xml:space="preserve"> cenu indeksa (TTF</w:t>
      </w:r>
      <w:r w:rsidRPr="00CE21FE">
        <w:rPr>
          <w:sz w:val="22"/>
          <w:szCs w:val="22"/>
          <w:vertAlign w:val="subscript"/>
          <w:lang w:eastAsia="lv-LV"/>
        </w:rPr>
        <w:t>fm</w:t>
      </w:r>
      <w:r w:rsidRPr="001739B0">
        <w:rPr>
          <w:sz w:val="22"/>
          <w:szCs w:val="22"/>
          <w:lang w:eastAsia="lv-LV"/>
        </w:rPr>
        <w:t xml:space="preserve"> – nākamā mēneša Title Transfer Facility (TTF) cenu indekss, kas tiek publicēts pirms piegādes mēneša pēdējā tirdzniecības darba dienā “Argus European Natural Gas” pārskatā, “Featured indexes” sadaļā. Šis lielums mainās katru mēnesi.). Tirgotāja uzcenojums būs nemainīgs visu tirdzniecības periodu. </w:t>
      </w:r>
    </w:p>
    <w:p w14:paraId="17F3F1FD" w14:textId="77777777" w:rsidR="00B77F99" w:rsidRPr="00850BBB" w:rsidRDefault="00000000" w:rsidP="00B77F99">
      <w:pPr>
        <w:shd w:val="clear" w:color="auto" w:fill="FFFFFF"/>
        <w:spacing w:before="100" w:beforeAutospacing="1" w:after="100" w:afterAutospacing="1"/>
        <w:jc w:val="both"/>
        <w:rPr>
          <w:sz w:val="22"/>
          <w:szCs w:val="22"/>
        </w:rPr>
      </w:pPr>
      <w:r w:rsidRPr="00850BBB">
        <w:rPr>
          <w:sz w:val="22"/>
          <w:szCs w:val="22"/>
        </w:rPr>
        <w:t xml:space="preserve"> *</w:t>
      </w:r>
      <w:r w:rsidRPr="001739B0">
        <w:t>*</w:t>
      </w:r>
      <w:r w:rsidRPr="00850BBB">
        <w:rPr>
          <w:sz w:val="22"/>
          <w:szCs w:val="22"/>
        </w:rPr>
        <w:t xml:space="preserve"> Dabasgāzes cenā ir jāietver visas ar iepirkuma priekšmetu saistītās izmaksas, atlaides un piemaksas, dabasgāzes uzglabāšanas izmaksas, maksa par pārvades sistēmas pakalpojumu</w:t>
      </w:r>
      <w:r>
        <w:rPr>
          <w:sz w:val="22"/>
          <w:szCs w:val="22"/>
        </w:rPr>
        <w:t xml:space="preserve"> </w:t>
      </w:r>
      <w:r w:rsidRPr="00850BBB">
        <w:rPr>
          <w:sz w:val="22"/>
          <w:szCs w:val="22"/>
        </w:rPr>
        <w:t xml:space="preserve">- pārvades jaudu, maksa par balansēšanas pakalpojumu, kā arī visi nodokļi (izņemot pievienotās vērtības nodokli un akcīzes nodokli) un nodevas, ja tādas ir paredzētas, kā arī visi iespējamie riski, kas saistīti ar tirgus cenu svārstībām plānotajā līguma izpildes laikā. </w:t>
      </w:r>
    </w:p>
    <w:p w14:paraId="04974630" w14:textId="77777777" w:rsidR="00B77F99" w:rsidRPr="00850BBB" w:rsidRDefault="00000000" w:rsidP="00B77F99">
      <w:pPr>
        <w:shd w:val="clear" w:color="auto" w:fill="FFFFFF"/>
        <w:spacing w:before="100" w:beforeAutospacing="1" w:after="100" w:afterAutospacing="1"/>
        <w:jc w:val="both"/>
        <w:rPr>
          <w:sz w:val="22"/>
          <w:szCs w:val="22"/>
        </w:rPr>
      </w:pPr>
      <w:r w:rsidRPr="00850BBB">
        <w:rPr>
          <w:sz w:val="22"/>
          <w:szCs w:val="22"/>
        </w:rPr>
        <w:t>*</w:t>
      </w:r>
      <w:r w:rsidRPr="001739B0">
        <w:t>*</w:t>
      </w:r>
      <w:r w:rsidRPr="00850BBB">
        <w:rPr>
          <w:sz w:val="22"/>
          <w:szCs w:val="22"/>
        </w:rPr>
        <w:t xml:space="preserve"> Dabasgāzes cenā neiekļauj izmaksas par sadales sistēmas pakalpojumiem, maksu par pārvades sistēmas pakalpojumu – izejas punktu Latvijas lietotāju apgādei un akcīzes nodokli.</w:t>
      </w:r>
    </w:p>
    <w:p w14:paraId="3A6C59A8" w14:textId="77777777" w:rsidR="00B77F99" w:rsidRPr="00DA455C" w:rsidRDefault="00B77F99" w:rsidP="00B77F99">
      <w:pPr>
        <w:jc w:val="both"/>
        <w:rPr>
          <w:sz w:val="26"/>
          <w:szCs w:val="26"/>
        </w:rPr>
      </w:pPr>
    </w:p>
    <w:p w14:paraId="69B8610A" w14:textId="77777777" w:rsidR="00B77F99" w:rsidRDefault="00B77F99" w:rsidP="00B77F99">
      <w:pPr>
        <w:shd w:val="clear" w:color="auto" w:fill="FFFFFF"/>
      </w:pPr>
    </w:p>
    <w:p w14:paraId="616FA2C2" w14:textId="77777777" w:rsidR="00B77F99" w:rsidRDefault="00000000" w:rsidP="00B77F99">
      <w:pPr>
        <w:tabs>
          <w:tab w:val="center" w:pos="4153"/>
          <w:tab w:val="right" w:pos="8306"/>
        </w:tabs>
        <w:suppressAutoHyphens w:val="0"/>
        <w:ind w:left="-284"/>
        <w:jc w:val="both"/>
        <w:rPr>
          <w:sz w:val="26"/>
          <w:szCs w:val="26"/>
          <w:lang w:eastAsia="en-US"/>
        </w:rPr>
      </w:pPr>
      <w:r>
        <w:rPr>
          <w:sz w:val="26"/>
          <w:szCs w:val="26"/>
          <w:lang w:eastAsia="en-US"/>
        </w:rPr>
        <w:t>Nodrošinu visas</w:t>
      </w:r>
      <w:r w:rsidRPr="00A42625">
        <w:rPr>
          <w:sz w:val="26"/>
          <w:szCs w:val="26"/>
          <w:lang w:eastAsia="en-US"/>
        </w:rPr>
        <w:t xml:space="preserve"> izvirzīt</w:t>
      </w:r>
      <w:r>
        <w:rPr>
          <w:sz w:val="26"/>
          <w:szCs w:val="26"/>
          <w:lang w:eastAsia="en-US"/>
        </w:rPr>
        <w:t>ā</w:t>
      </w:r>
      <w:r w:rsidRPr="00A42625">
        <w:rPr>
          <w:sz w:val="26"/>
          <w:szCs w:val="26"/>
          <w:lang w:eastAsia="en-US"/>
        </w:rPr>
        <w:t>s prasības:</w:t>
      </w:r>
    </w:p>
    <w:p w14:paraId="12C3DC6C" w14:textId="77777777" w:rsidR="00354753" w:rsidRDefault="00354753" w:rsidP="00354753">
      <w:pPr>
        <w:tabs>
          <w:tab w:val="center" w:pos="4153"/>
          <w:tab w:val="right" w:pos="8306"/>
        </w:tabs>
        <w:suppressAutoHyphens w:val="0"/>
        <w:ind w:left="-284"/>
        <w:jc w:val="both"/>
        <w:rPr>
          <w:sz w:val="26"/>
          <w:szCs w:val="26"/>
          <w:lang w:eastAsia="en-US"/>
        </w:rPr>
      </w:pPr>
    </w:p>
    <w:p w14:paraId="7EEBDCF1" w14:textId="77777777" w:rsidR="00354753" w:rsidRPr="00A42625" w:rsidRDefault="00000000" w:rsidP="00354753">
      <w:pPr>
        <w:tabs>
          <w:tab w:val="center" w:pos="4153"/>
          <w:tab w:val="right" w:pos="8306"/>
        </w:tabs>
        <w:suppressAutoHyphens w:val="0"/>
        <w:ind w:left="-284"/>
        <w:jc w:val="both"/>
        <w:rPr>
          <w:sz w:val="26"/>
          <w:szCs w:val="26"/>
          <w:lang w:eastAsia="en-US"/>
        </w:rPr>
      </w:pPr>
      <w:r>
        <w:rPr>
          <w:sz w:val="26"/>
          <w:szCs w:val="26"/>
          <w:lang w:eastAsia="en-US"/>
        </w:rPr>
        <w:t xml:space="preserve"> </w:t>
      </w:r>
    </w:p>
    <w:p w14:paraId="39881538" w14:textId="77777777" w:rsidR="00354753" w:rsidRPr="00D53791" w:rsidRDefault="00000000" w:rsidP="00354753">
      <w:pPr>
        <w:tabs>
          <w:tab w:val="center" w:pos="4153"/>
          <w:tab w:val="right" w:pos="8306"/>
        </w:tabs>
        <w:suppressAutoHyphens w:val="0"/>
        <w:ind w:left="-284"/>
        <w:jc w:val="both"/>
        <w:rPr>
          <w:sz w:val="22"/>
          <w:u w:val="single"/>
          <w:lang w:eastAsia="en-US"/>
        </w:rPr>
      </w:pPr>
      <w:r w:rsidRPr="00D53791">
        <w:rPr>
          <w:sz w:val="22"/>
          <w:u w:val="single"/>
          <w:lang w:eastAsia="en-US"/>
        </w:rPr>
        <w:t>____________________________________________________________________________</w:t>
      </w:r>
      <w:r>
        <w:rPr>
          <w:sz w:val="22"/>
          <w:u w:val="single"/>
          <w:lang w:eastAsia="en-US"/>
        </w:rPr>
        <w:t xml:space="preserve">  </w:t>
      </w:r>
      <w:r w:rsidRPr="00D53791">
        <w:rPr>
          <w:sz w:val="22"/>
          <w:u w:val="single"/>
          <w:lang w:eastAsia="en-US"/>
        </w:rPr>
        <w:t xml:space="preserve"> </w:t>
      </w:r>
    </w:p>
    <w:p w14:paraId="34A2CF00" w14:textId="77777777" w:rsidR="00354753" w:rsidRPr="00314F07" w:rsidRDefault="00000000" w:rsidP="00354753">
      <w:pPr>
        <w:suppressAutoHyphens w:val="0"/>
        <w:rPr>
          <w:sz w:val="20"/>
          <w:szCs w:val="20"/>
        </w:rPr>
      </w:pPr>
      <w:r w:rsidRPr="00314F07">
        <w:rPr>
          <w:sz w:val="20"/>
          <w:szCs w:val="20"/>
          <w:lang w:eastAsia="en-US"/>
        </w:rPr>
        <w:t>(Pretendenta nosaukums, vadītāja vai pilnvarotās personas amats, vārds, uzvārds un paraksts)</w:t>
      </w:r>
    </w:p>
    <w:p w14:paraId="64EBFBAE" w14:textId="77777777" w:rsidR="004D166C" w:rsidRDefault="004D166C"/>
    <w:sectPr w:rsidR="004D166C" w:rsidSect="00AC38E9">
      <w:footerReference w:type="first" r:id="rId7"/>
      <w:pgSz w:w="11906" w:h="16838"/>
      <w:pgMar w:top="1134" w:right="1133" w:bottom="42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EEA0" w14:textId="77777777" w:rsidR="00DB072D" w:rsidRDefault="00DB072D">
      <w:r>
        <w:separator/>
      </w:r>
    </w:p>
  </w:endnote>
  <w:endnote w:type="continuationSeparator" w:id="0">
    <w:p w14:paraId="450A13FE" w14:textId="77777777" w:rsidR="00DB072D" w:rsidRDefault="00DB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3C0C" w14:textId="77777777" w:rsidR="007D4E60" w:rsidRDefault="00000000">
    <w:pPr>
      <w:jc w:val="center"/>
    </w:pPr>
    <w:r>
      <w:rPr>
        <w:rFonts w:ascii="Calibri" w:eastAsia="Calibri" w:hAnsi="Calibri" w:cs="Calibri"/>
        <w:sz w:val="22"/>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C7DC" w14:textId="77777777" w:rsidR="00DB072D" w:rsidRDefault="00DB072D">
      <w:r>
        <w:separator/>
      </w:r>
    </w:p>
  </w:footnote>
  <w:footnote w:type="continuationSeparator" w:id="0">
    <w:p w14:paraId="478BF883" w14:textId="77777777" w:rsidR="00DB072D" w:rsidRDefault="00DB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C790A"/>
    <w:multiLevelType w:val="multilevel"/>
    <w:tmpl w:val="2DD4AB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bCs/>
        <w:color w:val="auto"/>
        <w:lang w:val="lv-LV"/>
      </w:rPr>
    </w:lvl>
    <w:lvl w:ilvl="2">
      <w:start w:val="1"/>
      <w:numFmt w:val="decimal"/>
      <w:isLgl/>
      <w:lvlText w:val="%1.%2.%3."/>
      <w:lvlJc w:val="left"/>
      <w:pPr>
        <w:ind w:left="1080" w:hanging="720"/>
      </w:pPr>
      <w:rPr>
        <w:rFonts w:ascii="Times New Roman" w:hAnsi="Times New Roman" w:cs="Times New Roman" w:hint="default"/>
        <w:b w:val="0"/>
        <w:i w:val="0"/>
        <w:color w:val="auto"/>
        <w:sz w:val="26"/>
        <w:szCs w:val="26"/>
      </w:rPr>
    </w:lvl>
    <w:lvl w:ilvl="3">
      <w:start w:val="1"/>
      <w:numFmt w:val="decimal"/>
      <w:isLgl/>
      <w:lvlText w:val="%1.%2.%3.%4."/>
      <w:lvlJc w:val="left"/>
      <w:pPr>
        <w:ind w:left="2498" w:hanging="108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3372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53"/>
    <w:rsid w:val="000425F4"/>
    <w:rsid w:val="000B1B14"/>
    <w:rsid w:val="000E4013"/>
    <w:rsid w:val="001047CC"/>
    <w:rsid w:val="00116983"/>
    <w:rsid w:val="0016441B"/>
    <w:rsid w:val="001739B0"/>
    <w:rsid w:val="001E7CBB"/>
    <w:rsid w:val="002D1C5F"/>
    <w:rsid w:val="002D2C58"/>
    <w:rsid w:val="00314F07"/>
    <w:rsid w:val="00354753"/>
    <w:rsid w:val="003C32BB"/>
    <w:rsid w:val="003F13FD"/>
    <w:rsid w:val="003F2186"/>
    <w:rsid w:val="0042226B"/>
    <w:rsid w:val="00477083"/>
    <w:rsid w:val="00484705"/>
    <w:rsid w:val="00497DC4"/>
    <w:rsid w:val="004C6EF0"/>
    <w:rsid w:val="004D166C"/>
    <w:rsid w:val="004E7E44"/>
    <w:rsid w:val="0057142D"/>
    <w:rsid w:val="005849E2"/>
    <w:rsid w:val="005A3EBC"/>
    <w:rsid w:val="005E4883"/>
    <w:rsid w:val="006A66D3"/>
    <w:rsid w:val="006C7C1A"/>
    <w:rsid w:val="007D4E60"/>
    <w:rsid w:val="00850BBB"/>
    <w:rsid w:val="00855DE6"/>
    <w:rsid w:val="00880915"/>
    <w:rsid w:val="00894DEF"/>
    <w:rsid w:val="008C2732"/>
    <w:rsid w:val="00915A58"/>
    <w:rsid w:val="0095395F"/>
    <w:rsid w:val="00955463"/>
    <w:rsid w:val="0097720C"/>
    <w:rsid w:val="0098694E"/>
    <w:rsid w:val="009F6DD8"/>
    <w:rsid w:val="00A079FA"/>
    <w:rsid w:val="00A42625"/>
    <w:rsid w:val="00A46587"/>
    <w:rsid w:val="00A83D89"/>
    <w:rsid w:val="00AB17FB"/>
    <w:rsid w:val="00AC0E25"/>
    <w:rsid w:val="00AC38E9"/>
    <w:rsid w:val="00B25E29"/>
    <w:rsid w:val="00B7296A"/>
    <w:rsid w:val="00B77F99"/>
    <w:rsid w:val="00BB2285"/>
    <w:rsid w:val="00C67E15"/>
    <w:rsid w:val="00CE21FE"/>
    <w:rsid w:val="00D53791"/>
    <w:rsid w:val="00D711FD"/>
    <w:rsid w:val="00DA455C"/>
    <w:rsid w:val="00DB072D"/>
    <w:rsid w:val="00DD5150"/>
    <w:rsid w:val="00DD573C"/>
    <w:rsid w:val="00E3490C"/>
    <w:rsid w:val="00E36086"/>
    <w:rsid w:val="00E64579"/>
    <w:rsid w:val="00E917B7"/>
    <w:rsid w:val="00EB0396"/>
    <w:rsid w:val="00EB1859"/>
    <w:rsid w:val="00EB5528"/>
    <w:rsid w:val="00EE18D7"/>
    <w:rsid w:val="00F00C29"/>
    <w:rsid w:val="00F16262"/>
    <w:rsid w:val="00FD4D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290F"/>
  <w15:chartTrackingRefBased/>
  <w15:docId w15:val="{1E02B926-5E90-4D61-A3D2-CFAC5F5D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753"/>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54753"/>
  </w:style>
  <w:style w:type="paragraph" w:styleId="Kjene">
    <w:name w:val="footer"/>
    <w:basedOn w:val="Parasts"/>
    <w:link w:val="KjeneRakstz"/>
    <w:rsid w:val="00354753"/>
    <w:pPr>
      <w:tabs>
        <w:tab w:val="center" w:pos="4153"/>
        <w:tab w:val="right" w:pos="8306"/>
      </w:tabs>
    </w:pPr>
  </w:style>
  <w:style w:type="character" w:customStyle="1" w:styleId="KjeneRakstz">
    <w:name w:val="Kājene Rakstz."/>
    <w:basedOn w:val="Noklusjumarindkopasfonts"/>
    <w:link w:val="Kjene"/>
    <w:rsid w:val="00354753"/>
    <w:rPr>
      <w:rFonts w:ascii="Times New Roman" w:eastAsia="Times New Roman" w:hAnsi="Times New Roman" w:cs="Times New Roman"/>
      <w:sz w:val="24"/>
      <w:szCs w:val="24"/>
      <w:lang w:eastAsia="ar-SA"/>
    </w:rPr>
  </w:style>
  <w:style w:type="table" w:customStyle="1" w:styleId="Reatabula1">
    <w:name w:val="Režģa tabula1"/>
    <w:basedOn w:val="Parastatabula"/>
    <w:next w:val="Reatabula"/>
    <w:rsid w:val="003547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880915"/>
    <w:pPr>
      <w:widowControl w:val="0"/>
      <w:suppressAutoHyphens w:val="0"/>
      <w:autoSpaceDE w:val="0"/>
      <w:autoSpaceDN w:val="0"/>
      <w:adjustRightInd w:val="0"/>
      <w:jc w:val="both"/>
    </w:pPr>
    <w:rPr>
      <w:lang w:eastAsia="lv-LV"/>
    </w:rPr>
  </w:style>
  <w:style w:type="character" w:styleId="Komentraatsauce">
    <w:name w:val="annotation reference"/>
    <w:basedOn w:val="Noklusjumarindkopasfonts"/>
    <w:uiPriority w:val="99"/>
    <w:semiHidden/>
    <w:unhideWhenUsed/>
    <w:rsid w:val="00B77F99"/>
    <w:rPr>
      <w:sz w:val="16"/>
      <w:szCs w:val="16"/>
    </w:rPr>
  </w:style>
  <w:style w:type="paragraph" w:styleId="Komentrateksts">
    <w:name w:val="annotation text"/>
    <w:basedOn w:val="Parasts"/>
    <w:link w:val="KomentratekstsRakstz"/>
    <w:uiPriority w:val="99"/>
    <w:unhideWhenUsed/>
    <w:rsid w:val="00B77F99"/>
    <w:rPr>
      <w:sz w:val="20"/>
      <w:szCs w:val="20"/>
    </w:rPr>
  </w:style>
  <w:style w:type="character" w:customStyle="1" w:styleId="KomentratekstsRakstz">
    <w:name w:val="Komentāra teksts Rakstz."/>
    <w:basedOn w:val="Noklusjumarindkopasfonts"/>
    <w:link w:val="Komentrateksts"/>
    <w:uiPriority w:val="99"/>
    <w:rsid w:val="00B77F99"/>
    <w:rPr>
      <w:rFonts w:ascii="Times New Roman" w:eastAsia="Times New Roman" w:hAnsi="Times New Roman" w:cs="Times New Roman"/>
      <w:sz w:val="20"/>
      <w:szCs w:val="20"/>
      <w:lang w:eastAsia="ar-SA"/>
    </w:rPr>
  </w:style>
  <w:style w:type="paragraph" w:styleId="Galvene">
    <w:name w:val="header"/>
    <w:basedOn w:val="Parasts"/>
    <w:link w:val="GalveneRakstz"/>
    <w:uiPriority w:val="99"/>
    <w:unhideWhenUsed/>
    <w:rsid w:val="0097720C"/>
    <w:pPr>
      <w:tabs>
        <w:tab w:val="center" w:pos="4153"/>
        <w:tab w:val="right" w:pos="8306"/>
      </w:tabs>
    </w:pPr>
  </w:style>
  <w:style w:type="character" w:customStyle="1" w:styleId="GalveneRakstz">
    <w:name w:val="Galvene Rakstz."/>
    <w:basedOn w:val="Noklusjumarindkopasfonts"/>
    <w:link w:val="Galvene"/>
    <w:uiPriority w:val="99"/>
    <w:rsid w:val="0097720C"/>
    <w:rPr>
      <w:rFonts w:ascii="Times New Roman" w:eastAsia="Times New Roman" w:hAnsi="Times New Roman" w:cs="Times New Roman"/>
      <w:sz w:val="24"/>
      <w:szCs w:val="24"/>
      <w:lang w:eastAsia="ar-SA"/>
    </w:rPr>
  </w:style>
  <w:style w:type="paragraph" w:styleId="Prskatjums">
    <w:name w:val="Revision"/>
    <w:hidden/>
    <w:uiPriority w:val="99"/>
    <w:semiHidden/>
    <w:rsid w:val="003F13FD"/>
    <w:pPr>
      <w:spacing w:after="0" w:line="240" w:lineRule="auto"/>
    </w:pPr>
    <w:rPr>
      <w:rFonts w:ascii="Times New Roman" w:eastAsia="Times New Roman" w:hAnsi="Times New Roman" w:cs="Times New Roman"/>
      <w:sz w:val="24"/>
      <w:szCs w:val="24"/>
      <w:lang w:eastAsia="ar-SA"/>
    </w:rPr>
  </w:style>
  <w:style w:type="paragraph" w:styleId="Komentratma">
    <w:name w:val="annotation subject"/>
    <w:basedOn w:val="Komentrateksts"/>
    <w:next w:val="Komentrateksts"/>
    <w:link w:val="KomentratmaRakstz"/>
    <w:uiPriority w:val="99"/>
    <w:semiHidden/>
    <w:unhideWhenUsed/>
    <w:rsid w:val="00DD5150"/>
    <w:rPr>
      <w:b/>
      <w:bCs/>
    </w:rPr>
  </w:style>
  <w:style w:type="character" w:customStyle="1" w:styleId="KomentratmaRakstz">
    <w:name w:val="Komentāra tēma Rakstz."/>
    <w:basedOn w:val="KomentratekstsRakstz"/>
    <w:link w:val="Komentratma"/>
    <w:uiPriority w:val="99"/>
    <w:semiHidden/>
    <w:rsid w:val="00DD5150"/>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1175</Words>
  <Characters>670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Viktorija Osovska-Hlebina</cp:lastModifiedBy>
  <cp:revision>4</cp:revision>
  <cp:lastPrinted>2022-06-03T05:41:00Z</cp:lastPrinted>
  <dcterms:created xsi:type="dcterms:W3CDTF">2024-09-24T12:07:00Z</dcterms:created>
  <dcterms:modified xsi:type="dcterms:W3CDTF">2024-09-24T13:21:00Z</dcterms:modified>
</cp:coreProperties>
</file>