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F3CA" w14:textId="49353473" w:rsidR="00156A9F" w:rsidRPr="00156A9F" w:rsidRDefault="00156A9F" w:rsidP="00156A9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2</w:t>
      </w:r>
      <w:r w:rsidRPr="00156A9F">
        <w:rPr>
          <w:rFonts w:ascii="Times New Roman" w:hAnsi="Times New Roman" w:cs="Times New Roman"/>
          <w:i/>
          <w:iCs/>
          <w:color w:val="000000"/>
        </w:rPr>
        <w:t>. Pielikums Tirgus izpētei Nr. </w:t>
      </w:r>
      <w:r>
        <w:rPr>
          <w:rFonts w:ascii="Times New Roman" w:hAnsi="Times New Roman" w:cs="Times New Roman"/>
          <w:i/>
          <w:iCs/>
          <w:color w:val="000000"/>
        </w:rPr>
        <w:t>8</w:t>
      </w:r>
    </w:p>
    <w:p w14:paraId="693C319F" w14:textId="0B7AA301" w:rsidR="00156A9F" w:rsidRPr="00156A9F" w:rsidRDefault="00156A9F" w:rsidP="00156A9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156A9F">
        <w:rPr>
          <w:rFonts w:ascii="Times New Roman" w:hAnsi="Times New Roman" w:cs="Times New Roman"/>
          <w:i/>
          <w:iCs/>
          <w:color w:val="000000"/>
        </w:rPr>
        <w:t>“</w:t>
      </w:r>
      <w:bookmarkStart w:id="0" w:name="_Hlk202788977"/>
      <w:r w:rsidRPr="00156A9F">
        <w:rPr>
          <w:rFonts w:ascii="Times New Roman" w:hAnsi="Times New Roman" w:cs="Times New Roman"/>
          <w:i/>
          <w:iCs/>
          <w:color w:val="000000"/>
        </w:rPr>
        <w:t xml:space="preserve">Par </w:t>
      </w:r>
      <w:bookmarkEnd w:id="0"/>
      <w:r>
        <w:rPr>
          <w:rFonts w:ascii="Times New Roman" w:hAnsi="Times New Roman" w:cs="Times New Roman"/>
          <w:i/>
          <w:iCs/>
          <w:color w:val="000000"/>
        </w:rPr>
        <w:t>informatīvo ekrānu iegādi un uzstādīšanu</w:t>
      </w:r>
      <w:r w:rsidRPr="00156A9F">
        <w:rPr>
          <w:rFonts w:ascii="Times New Roman" w:hAnsi="Times New Roman" w:cs="Times New Roman"/>
          <w:i/>
          <w:iCs/>
          <w:color w:val="000000"/>
        </w:rPr>
        <w:t>”</w:t>
      </w:r>
    </w:p>
    <w:p w14:paraId="0382C77F" w14:textId="77777777" w:rsidR="001C5DA6" w:rsidRPr="0038039B" w:rsidRDefault="001C5DA6" w:rsidP="001C5DA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4B2C1838" w14:textId="457CF232" w:rsidR="001C5DA6" w:rsidRPr="0076723E" w:rsidRDefault="00000000" w:rsidP="001C5DA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  <w:r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TEHNISKĀ SPECIFIKĀCIJA</w:t>
      </w:r>
      <w:r w:rsidR="00156A9F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-</w:t>
      </w:r>
      <w:r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FINANŠU PIEDĀVĀJUMS</w:t>
      </w:r>
    </w:p>
    <w:p w14:paraId="75AA0850" w14:textId="4985B7E1" w:rsidR="001C5DA6" w:rsidRPr="0076723E" w:rsidRDefault="00000000" w:rsidP="001C5DA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  <w:r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“</w:t>
      </w:r>
      <w:r w:rsidR="00156A9F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Par i</w:t>
      </w:r>
      <w:r w:rsidR="009A39B3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nformatīv</w:t>
      </w:r>
      <w:r w:rsidR="00082442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o</w:t>
      </w:r>
      <w:r w:rsidR="009A39B3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ekrān</w:t>
      </w:r>
      <w:r w:rsidR="00082442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u</w:t>
      </w:r>
      <w:r w:rsidR="009A39B3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iegād</w:t>
      </w:r>
      <w:r w:rsidR="00156A9F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i</w:t>
      </w:r>
      <w:r w:rsidR="00082442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un</w:t>
      </w:r>
      <w:r w:rsidR="009A39B3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uzstādīšan</w:t>
      </w:r>
      <w:r w:rsidR="00156A9F"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u</w:t>
      </w:r>
      <w:r w:rsidRPr="007672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”</w:t>
      </w:r>
    </w:p>
    <w:p w14:paraId="170DDB74" w14:textId="77777777" w:rsidR="001C5DA6" w:rsidRPr="0038039B" w:rsidRDefault="001C5DA6" w:rsidP="00F77DE9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09A8A452" w14:textId="3337DC4A" w:rsidR="00262910" w:rsidRPr="00156A9F" w:rsidRDefault="00000000" w:rsidP="00F77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Pretendentam jāpiegādā </w:t>
      </w:r>
      <w:r w:rsidR="00156A9F" w:rsidRPr="00156A9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  <w:t>3 (</w:t>
      </w:r>
      <w:r w:rsidRPr="00156A9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  <w:t>trīs</w:t>
      </w:r>
      <w:r w:rsidR="00156A9F" w:rsidRPr="00156A9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lv-LV"/>
        </w:rPr>
        <w:t>)</w:t>
      </w:r>
      <w:r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75 collu informatīvie ekrāni un jānodrošina to montāža pie sienas, informatīvajam ekrānam jābūt savienojamam ar “Magicinfo” digitālās informācijas displeju programmatūru. Tāpat jānodrošina arī “Magicinfo Premium” licen</w:t>
      </w:r>
      <w:r w:rsidR="00093CFF"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>ču</w:t>
      </w:r>
      <w:r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piedāvājum</w:t>
      </w:r>
      <w:r w:rsidR="009A39B3"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>s</w:t>
      </w:r>
      <w:r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>. Ekrānu tehniskie parametri nevar būt sliktāki par zemāk minētajiem.</w:t>
      </w:r>
    </w:p>
    <w:tbl>
      <w:tblPr>
        <w:tblW w:w="935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2269"/>
        <w:gridCol w:w="2977"/>
        <w:gridCol w:w="2977"/>
      </w:tblGrid>
      <w:tr w:rsidR="002640BF" w:rsidRPr="00156A9F" w14:paraId="072B57A8" w14:textId="77777777" w:rsidTr="00F9638E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9397" w14:textId="77777777" w:rsidR="001C5DA6" w:rsidRPr="00156A9F" w:rsidRDefault="00000000" w:rsidP="00483A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ECB5E" w14:textId="77777777" w:rsidR="001C5DA6" w:rsidRPr="00156A9F" w:rsidRDefault="00000000" w:rsidP="00483A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Prece, parametri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A1E0" w14:textId="77777777" w:rsidR="001C5DA6" w:rsidRPr="00156A9F" w:rsidRDefault="00000000" w:rsidP="00483A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Pasūtītāja prasības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AE836" w14:textId="77777777" w:rsidR="001C5DA6" w:rsidRPr="00156A9F" w:rsidRDefault="00000000" w:rsidP="00483A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Pretendenta piedāvājums</w:t>
            </w:r>
          </w:p>
        </w:tc>
      </w:tr>
      <w:tr w:rsidR="002640BF" w:rsidRPr="00156A9F" w14:paraId="35A7F454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7B36" w14:textId="1ADA30CD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1</w:t>
            </w:r>
            <w:r w:rsidR="00156A9F"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97C6B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Informatīvais ekrāns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862" w14:textId="77777777" w:rsidR="001C5DA6" w:rsidRPr="00156A9F" w:rsidRDefault="00000000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 xml:space="preserve">*Pretendents </w:t>
            </w:r>
            <w:r w:rsidR="00FB663A" w:rsidRPr="00156A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 xml:space="preserve">šī teksta vietā </w:t>
            </w:r>
            <w:r w:rsidRPr="00156A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eastAsia="zh-TW"/>
              </w:rPr>
              <w:t>norāda ražotāju, modeli, interneta adresi ( ja tāda ir) kur ir pieejama informācija par piedāvāto preci</w:t>
            </w:r>
          </w:p>
        </w:tc>
      </w:tr>
      <w:tr w:rsidR="00156A9F" w:rsidRPr="00156A9F" w14:paraId="18DA89FE" w14:textId="77777777" w:rsidTr="004B5E1F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45C" w14:textId="3F8EF174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8BA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Ekrāna diagonāles izmērs (collas)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EB960" w14:textId="6D18868B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Tieši 75</w:t>
            </w:r>
          </w:p>
        </w:tc>
      </w:tr>
      <w:tr w:rsidR="00156A9F" w:rsidRPr="00156A9F" w14:paraId="3489247B" w14:textId="77777777" w:rsidTr="007A40B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CA154" w14:textId="69D1C5D5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501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Malu attiecība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A9DB" w14:textId="6CBF2C0D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16:9</w:t>
            </w:r>
          </w:p>
        </w:tc>
      </w:tr>
      <w:tr w:rsidR="002640BF" w:rsidRPr="00156A9F" w14:paraId="0550CD9B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4825" w14:textId="328FC46D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1.3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587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Skata leņķis [°]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DD4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323" w14:textId="7777777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2640BF" w:rsidRPr="00156A9F" w14:paraId="52AD90F3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5867" w14:textId="506F665C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1.4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1786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Reakcijas ātrums [ms]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3AAE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8 (vai labāks)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E98" w14:textId="7777777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6A9F" w:rsidRPr="00156A9F" w14:paraId="471D818B" w14:textId="77777777" w:rsidTr="007D4DD4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8B0C" w14:textId="5CB6AC50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4438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Uzstādīšanas veids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A7A7" w14:textId="058AC50C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Horizontāli</w:t>
            </w:r>
          </w:p>
        </w:tc>
      </w:tr>
      <w:tr w:rsidR="002640BF" w:rsidRPr="00156A9F" w14:paraId="1D64D1CD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7D19" w14:textId="66FD718C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1.6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C7C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Standarta izšķirtspēja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DA2C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3840 x 2160@60Hz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9DC2" w14:textId="7777777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2640BF" w:rsidRPr="00156A9F" w14:paraId="6D34D996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7367" w14:textId="23F9E4B3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1.7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FD4C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Kontrasta attiecība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465F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 4000:1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45C" w14:textId="7777777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2640BF" w:rsidRPr="00156A9F" w14:paraId="2F95175B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4A3A" w14:textId="44C75C87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2</w:t>
            </w:r>
            <w:r w:rsidR="00156A9F"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85AED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Savienojumi</w:t>
            </w:r>
          </w:p>
        </w:tc>
      </w:tr>
      <w:tr w:rsidR="002640BF" w:rsidRPr="00156A9F" w14:paraId="26BEB5CD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CF0F" w14:textId="2F35750B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2.1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37C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0F5C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2xHDMI, 1xDP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2B3D" w14:textId="7777777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6A9F" w:rsidRPr="00156A9F" w14:paraId="7326528E" w14:textId="77777777" w:rsidTr="007D0240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5003" w14:textId="30D80435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B6D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LAN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52FC" w14:textId="051B6A4A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RJ45</w:t>
            </w:r>
          </w:p>
        </w:tc>
      </w:tr>
      <w:tr w:rsidR="002640BF" w:rsidRPr="00156A9F" w14:paraId="7513B7AA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F697" w14:textId="6A263D98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2.3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2FF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802A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Vismaz 2x USB 2.0(A),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AF1" w14:textId="536EFA67" w:rsidR="001C5DA6" w:rsidRPr="00156A9F" w:rsidRDefault="001C5DA6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2640BF" w:rsidRPr="00156A9F" w14:paraId="39F9A5C3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E5FA" w14:textId="5815CFFA" w:rsidR="001C5DA6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3</w:t>
            </w:r>
            <w:r w:rsidR="00156A9F" w:rsidRPr="00156A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786CFB" w14:textId="77777777" w:rsidR="001C5DA6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Tehniskie parametri</w:t>
            </w:r>
          </w:p>
        </w:tc>
      </w:tr>
      <w:tr w:rsidR="002640BF" w:rsidRPr="00156A9F" w14:paraId="4AC1F849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F5BE" w14:textId="57D888E7" w:rsidR="004C7788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3.1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3F0" w14:textId="77777777" w:rsidR="004C7788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Iebūvētie skaļruņi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F6D5" w14:textId="77777777" w:rsidR="004C7788" w:rsidRPr="00156A9F" w:rsidRDefault="00000000" w:rsidP="004C77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156A9F" w:rsidRPr="00156A9F" w14:paraId="401FEE75" w14:textId="77777777" w:rsidTr="00AE271C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D71F" w14:textId="2908F304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87E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Spriegums AC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88FC" w14:textId="1F0489EC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100~240V/50HZ/60HZ</w:t>
            </w:r>
          </w:p>
        </w:tc>
      </w:tr>
      <w:tr w:rsidR="00156A9F" w:rsidRPr="00156A9F" w14:paraId="01096C08" w14:textId="77777777" w:rsidTr="00797AC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E036" w14:textId="575FA5E9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4C0F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vides temperatūra [°C]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1AC3" w14:textId="67FB2A34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0-40</w:t>
            </w:r>
          </w:p>
        </w:tc>
      </w:tr>
      <w:tr w:rsidR="00156A9F" w:rsidRPr="00156A9F" w14:paraId="0988DF26" w14:textId="77777777" w:rsidTr="0030639F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236E" w14:textId="0B6CC419" w:rsidR="00156A9F" w:rsidRPr="00156A9F" w:rsidRDefault="00156A9F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976" w14:textId="77777777" w:rsidR="00156A9F" w:rsidRPr="00156A9F" w:rsidRDefault="00156A9F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vides gaisa mitrums [%]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A692" w14:textId="1E998CAE" w:rsidR="00156A9F" w:rsidRPr="00156A9F" w:rsidRDefault="00156A9F" w:rsidP="00156A9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10-80</w:t>
            </w:r>
          </w:p>
        </w:tc>
      </w:tr>
      <w:tr w:rsidR="002640BF" w:rsidRPr="00156A9F" w14:paraId="44727CDC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5971" w14:textId="66ABAE80" w:rsidR="004C7788" w:rsidRPr="00156A9F" w:rsidRDefault="00000000" w:rsidP="00483ACF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3.5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3D70" w14:textId="77777777" w:rsidR="004C7788" w:rsidRPr="00156A9F" w:rsidRDefault="00000000" w:rsidP="00483ACF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VESA Stiprinājums [mm]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AF0E" w14:textId="77777777" w:rsidR="004C7788" w:rsidRPr="00156A9F" w:rsidRDefault="00000000" w:rsidP="004C7788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ir</w:t>
            </w:r>
          </w:p>
        </w:tc>
      </w:tr>
      <w:tr w:rsidR="002640BF" w:rsidRPr="00156A9F" w14:paraId="145018B3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D66A" w14:textId="63523FE9" w:rsidR="009C0C05" w:rsidRPr="00156A9F" w:rsidRDefault="00000000" w:rsidP="009C0C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4</w:t>
            </w:r>
            <w:r w:rsidR="00156A9F"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2AA030" w14:textId="77777777" w:rsidR="009C0C05" w:rsidRPr="00156A9F" w:rsidRDefault="00000000" w:rsidP="009C0C05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Vispārēji</w:t>
            </w:r>
          </w:p>
        </w:tc>
      </w:tr>
      <w:tr w:rsidR="0076723E" w:rsidRPr="00156A9F" w14:paraId="598D58F0" w14:textId="77777777" w:rsidTr="00263324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3489" w14:textId="656ABE8F" w:rsidR="0076723E" w:rsidRPr="00156A9F" w:rsidRDefault="0076723E" w:rsidP="009C0C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5DBC" w14:textId="77777777" w:rsidR="0076723E" w:rsidRPr="00156A9F" w:rsidRDefault="0076723E" w:rsidP="009C0C0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Piegādes laiks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09127" w14:textId="0C63FFE1" w:rsidR="0076723E" w:rsidRPr="00156A9F" w:rsidRDefault="0076723E" w:rsidP="007672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Pretendentam jāpiegādā un jāuzstāda informatīvie ekrāni iepriekš saskaņojot ar pasūtītāju, bet ne vēlāk kā līdz 2025. gada 20. novembrim.</w:t>
            </w:r>
          </w:p>
        </w:tc>
      </w:tr>
      <w:tr w:rsidR="002640BF" w:rsidRPr="00156A9F" w14:paraId="4403366F" w14:textId="77777777" w:rsidTr="00F9638E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CBE0" w14:textId="4B1D69E3" w:rsidR="009C0C05" w:rsidRPr="00156A9F" w:rsidRDefault="00000000" w:rsidP="009C0C0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4.2</w:t>
            </w:r>
            <w:r w:rsid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E4E" w14:textId="77777777" w:rsidR="009C0C05" w:rsidRPr="00156A9F" w:rsidRDefault="00000000" w:rsidP="009C0C0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Garantija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4637" w14:textId="77777777" w:rsidR="009C0C05" w:rsidRPr="00156A9F" w:rsidRDefault="00000000" w:rsidP="009C0C05">
            <w:pPr>
              <w:spacing w:after="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8872" w14:textId="77777777" w:rsidR="009C0C05" w:rsidRPr="00156A9F" w:rsidRDefault="009C0C05" w:rsidP="009C0C0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65E4DFCC" w14:textId="6E9CBA8C" w:rsidR="001C5DA6" w:rsidRPr="00156A9F" w:rsidRDefault="00000000" w:rsidP="00156A9F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56A9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Preces nedrīkst būt iepriekš lietotas</w:t>
      </w:r>
      <w:r w:rsidR="008263CC" w:rsidRPr="00156A9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</w:t>
      </w:r>
      <w:r w:rsidRPr="00156A9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Garantijas laikā iespējamie bojājumi jānovērš 30</w:t>
      </w:r>
      <w:r w:rsidR="00156A9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(trīsdesmit)</w:t>
      </w:r>
      <w:r w:rsidRPr="00156A9F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>dienu laikā pēc problēmas pieteikšanas. Ja defektu nav iespējams novērst, tad preces jāmaina pret jaunām, kas pēc tehniskajiem parametriem ir līdzvērtīgas bojātajām.</w:t>
      </w:r>
      <w:r w:rsidR="008263CC" w:rsidRPr="00156A9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</w:p>
    <w:p w14:paraId="48993625" w14:textId="77777777" w:rsidR="003602B8" w:rsidRPr="00156A9F" w:rsidRDefault="003602B8" w:rsidP="003602B8">
      <w:pPr>
        <w:spacing w:line="259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38BEFF29" w14:textId="77777777" w:rsidR="001C5DA6" w:rsidRPr="00156A9F" w:rsidRDefault="00000000" w:rsidP="003602B8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</w:pPr>
      <w:r w:rsidRPr="00156A9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FINANŠU PIEDĀVĀJUMS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685"/>
        <w:gridCol w:w="4413"/>
        <w:gridCol w:w="2552"/>
        <w:gridCol w:w="1701"/>
      </w:tblGrid>
      <w:tr w:rsidR="002640BF" w:rsidRPr="00156A9F" w14:paraId="21927ECF" w14:textId="77777777" w:rsidTr="00156A9F">
        <w:tc>
          <w:tcPr>
            <w:tcW w:w="685" w:type="dxa"/>
            <w:shd w:val="clear" w:color="auto" w:fill="BFBFBF" w:themeFill="background1" w:themeFillShade="BF"/>
            <w:vAlign w:val="center"/>
          </w:tcPr>
          <w:p w14:paraId="124F99F2" w14:textId="77777777" w:rsidR="00EB56CC" w:rsidRPr="00156A9F" w:rsidRDefault="00000000" w:rsidP="0056518B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</w:t>
            </w:r>
          </w:p>
        </w:tc>
        <w:tc>
          <w:tcPr>
            <w:tcW w:w="4413" w:type="dxa"/>
            <w:shd w:val="clear" w:color="auto" w:fill="BFBFBF" w:themeFill="background1" w:themeFillShade="BF"/>
            <w:vAlign w:val="center"/>
          </w:tcPr>
          <w:p w14:paraId="12D1886C" w14:textId="77777777" w:rsidR="00EB56CC" w:rsidRPr="00156A9F" w:rsidRDefault="00000000" w:rsidP="00483AC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Pozīcija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0B6B50DC" w14:textId="7590A440" w:rsidR="00EB56CC" w:rsidRPr="00156A9F" w:rsidRDefault="00000000" w:rsidP="00483AC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Cena par </w:t>
            </w:r>
            <w:r w:rsid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1 (</w:t>
            </w: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vienu</w:t>
            </w:r>
            <w:r w:rsid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)</w:t>
            </w: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vienību EUR bez PVN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46FC8AC" w14:textId="77777777" w:rsidR="00EB56CC" w:rsidRDefault="00000000" w:rsidP="00483AC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Cena kopā EUR bez PVN</w:t>
            </w:r>
          </w:p>
          <w:p w14:paraId="2F09AF30" w14:textId="72E2B151" w:rsidR="00156A9F" w:rsidRPr="00156A9F" w:rsidRDefault="00156A9F" w:rsidP="00483AC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(par 3 vienībām)</w:t>
            </w:r>
          </w:p>
        </w:tc>
      </w:tr>
      <w:tr w:rsidR="002640BF" w:rsidRPr="00156A9F" w14:paraId="71D0DC07" w14:textId="77777777" w:rsidTr="00082442">
        <w:tc>
          <w:tcPr>
            <w:tcW w:w="685" w:type="dxa"/>
          </w:tcPr>
          <w:p w14:paraId="0C1791C9" w14:textId="77777777" w:rsidR="00EB56CC" w:rsidRPr="00156A9F" w:rsidRDefault="00EB56CC" w:rsidP="00156A9F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413" w:type="dxa"/>
          </w:tcPr>
          <w:p w14:paraId="7F40838A" w14:textId="77777777" w:rsidR="00EB56CC" w:rsidRPr="00156A9F" w:rsidRDefault="00000000" w:rsidP="00483A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Informatīvais ekrāns</w:t>
            </w:r>
          </w:p>
        </w:tc>
        <w:tc>
          <w:tcPr>
            <w:tcW w:w="2552" w:type="dxa"/>
            <w:vAlign w:val="center"/>
          </w:tcPr>
          <w:p w14:paraId="690335D3" w14:textId="77777777" w:rsidR="00EB56CC" w:rsidRPr="00156A9F" w:rsidRDefault="00EB56CC" w:rsidP="00483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701" w:type="dxa"/>
          </w:tcPr>
          <w:p w14:paraId="3B34C0AF" w14:textId="77777777" w:rsidR="00EB56CC" w:rsidRPr="00156A9F" w:rsidRDefault="00EB56CC" w:rsidP="0048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  <w:tr w:rsidR="002640BF" w:rsidRPr="00156A9F" w14:paraId="2A804E79" w14:textId="77777777" w:rsidTr="00082442">
        <w:tc>
          <w:tcPr>
            <w:tcW w:w="685" w:type="dxa"/>
          </w:tcPr>
          <w:p w14:paraId="7495EC4E" w14:textId="77777777" w:rsidR="00EB56CC" w:rsidRPr="00156A9F" w:rsidRDefault="00EB56CC" w:rsidP="00156A9F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413" w:type="dxa"/>
          </w:tcPr>
          <w:p w14:paraId="36975E9A" w14:textId="77777777" w:rsidR="00EB56CC" w:rsidRPr="00156A9F" w:rsidRDefault="00000000" w:rsidP="00565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Iekārtas piegāde</w:t>
            </w:r>
            <w:r w:rsidR="00082442"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un</w:t>
            </w: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montāža uz siena</w:t>
            </w:r>
            <w:r w:rsidR="009A39B3"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</w:p>
        </w:tc>
        <w:tc>
          <w:tcPr>
            <w:tcW w:w="2552" w:type="dxa"/>
            <w:vAlign w:val="center"/>
          </w:tcPr>
          <w:p w14:paraId="681513EF" w14:textId="77777777" w:rsidR="00EB56CC" w:rsidRPr="00156A9F" w:rsidRDefault="00EB56CC" w:rsidP="00483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701" w:type="dxa"/>
          </w:tcPr>
          <w:p w14:paraId="0BAA9770" w14:textId="77777777" w:rsidR="00EB56CC" w:rsidRPr="00156A9F" w:rsidRDefault="00EB56CC" w:rsidP="0048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  <w:tr w:rsidR="002640BF" w:rsidRPr="00156A9F" w14:paraId="10652DBE" w14:textId="77777777" w:rsidTr="00082442">
        <w:tc>
          <w:tcPr>
            <w:tcW w:w="685" w:type="dxa"/>
          </w:tcPr>
          <w:p w14:paraId="174F46EF" w14:textId="77777777" w:rsidR="00356AFC" w:rsidRPr="00156A9F" w:rsidRDefault="00356AFC" w:rsidP="00156A9F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413" w:type="dxa"/>
          </w:tcPr>
          <w:p w14:paraId="57610388" w14:textId="77777777" w:rsidR="00356AFC" w:rsidRPr="00156A9F" w:rsidRDefault="00000000" w:rsidP="00565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MagicINFO premium licence</w:t>
            </w:r>
          </w:p>
        </w:tc>
        <w:tc>
          <w:tcPr>
            <w:tcW w:w="2552" w:type="dxa"/>
            <w:vAlign w:val="center"/>
          </w:tcPr>
          <w:p w14:paraId="3FD167E6" w14:textId="77777777" w:rsidR="00356AFC" w:rsidRPr="00156A9F" w:rsidRDefault="00356AFC" w:rsidP="00483A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701" w:type="dxa"/>
          </w:tcPr>
          <w:p w14:paraId="5F8BC72F" w14:textId="77777777" w:rsidR="00356AFC" w:rsidRPr="00156A9F" w:rsidRDefault="00356AFC" w:rsidP="0048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  <w:tr w:rsidR="002640BF" w:rsidRPr="00156A9F" w14:paraId="4BCEE54A" w14:textId="77777777" w:rsidTr="00156A9F">
        <w:tc>
          <w:tcPr>
            <w:tcW w:w="7650" w:type="dxa"/>
            <w:gridSpan w:val="3"/>
            <w:shd w:val="clear" w:color="auto" w:fill="BFBFBF" w:themeFill="background1" w:themeFillShade="BF"/>
          </w:tcPr>
          <w:p w14:paraId="1498996F" w14:textId="2A672E7B" w:rsidR="00EB56CC" w:rsidRPr="00156A9F" w:rsidRDefault="00000000" w:rsidP="00EB56C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Summa kopā EUR bez PVN</w:t>
            </w:r>
            <w:r w:rsid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(vērtēšanas kritērijs)</w:t>
            </w:r>
            <w:r w:rsidRPr="0015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:</w:t>
            </w:r>
          </w:p>
        </w:tc>
        <w:tc>
          <w:tcPr>
            <w:tcW w:w="1701" w:type="dxa"/>
          </w:tcPr>
          <w:p w14:paraId="3D42EEC6" w14:textId="77777777" w:rsidR="00EB56CC" w:rsidRPr="00156A9F" w:rsidRDefault="00EB56CC" w:rsidP="00483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</w:tbl>
    <w:p w14:paraId="5B3F2D09" w14:textId="77777777" w:rsidR="005950FA" w:rsidRDefault="005950FA"/>
    <w:p w14:paraId="06AE37D8" w14:textId="77777777" w:rsidR="0076723E" w:rsidRDefault="0076723E"/>
    <w:p w14:paraId="6E1E829D" w14:textId="77777777" w:rsidR="0076723E" w:rsidRPr="00925BC2" w:rsidRDefault="0076723E" w:rsidP="0076723E">
      <w:pPr>
        <w:tabs>
          <w:tab w:val="left" w:pos="1268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925BC2">
        <w:rPr>
          <w:rFonts w:ascii="Times New Roman" w:hAnsi="Times New Roman" w:cs="Times New Roman"/>
          <w:b/>
          <w:bCs/>
          <w:sz w:val="26"/>
          <w:szCs w:val="26"/>
        </w:rPr>
        <w:t>Nodrošinu visas iepirkumā izvirzītas prasības:</w:t>
      </w:r>
    </w:p>
    <w:p w14:paraId="2385C43D" w14:textId="77777777" w:rsidR="0076723E" w:rsidRPr="00925BC2" w:rsidRDefault="0076723E" w:rsidP="0076723E">
      <w:pPr>
        <w:tabs>
          <w:tab w:val="left" w:pos="1268"/>
        </w:tabs>
        <w:rPr>
          <w:rFonts w:ascii="Times New Roman" w:hAnsi="Times New Roman" w:cs="Times New Roman"/>
          <w:sz w:val="24"/>
          <w:szCs w:val="24"/>
        </w:rPr>
      </w:pPr>
      <w:r w:rsidRPr="00925B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DC60DBB" w14:textId="77777777" w:rsidR="0076723E" w:rsidRPr="00F52EBB" w:rsidRDefault="0076723E" w:rsidP="0076723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2EBB">
        <w:rPr>
          <w:rFonts w:ascii="Times New Roman" w:hAnsi="Times New Roman" w:cs="Times New Roman"/>
          <w:i/>
          <w:iCs/>
          <w:sz w:val="24"/>
          <w:szCs w:val="24"/>
        </w:rPr>
        <w:t>(Pretendenta nosaukums, vadītāja vai pilnvarotās personas amats, vārds, uzvārds un paraksts)</w:t>
      </w:r>
    </w:p>
    <w:p w14:paraId="11EA8C8C" w14:textId="77777777" w:rsidR="0076723E" w:rsidRDefault="0076723E"/>
    <w:sectPr w:rsidR="0076723E" w:rsidSect="000F1683">
      <w:headerReference w:type="default" r:id="rId8"/>
      <w:footerReference w:type="first" r:id="rId9"/>
      <w:pgSz w:w="12240" w:h="15840"/>
      <w:pgMar w:top="993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CE51" w14:textId="77777777" w:rsidR="00615AE5" w:rsidRDefault="00615AE5">
      <w:pPr>
        <w:spacing w:after="0" w:line="240" w:lineRule="auto"/>
      </w:pPr>
      <w:r>
        <w:separator/>
      </w:r>
    </w:p>
  </w:endnote>
  <w:endnote w:type="continuationSeparator" w:id="0">
    <w:p w14:paraId="5C1BA222" w14:textId="77777777" w:rsidR="00615AE5" w:rsidRDefault="0061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407E" w14:textId="77777777" w:rsidR="00662DF3" w:rsidRDefault="00662DF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37AF5" w14:textId="77777777" w:rsidR="00615AE5" w:rsidRDefault="00615AE5">
      <w:pPr>
        <w:spacing w:after="0" w:line="240" w:lineRule="auto"/>
      </w:pPr>
      <w:r>
        <w:separator/>
      </w:r>
    </w:p>
  </w:footnote>
  <w:footnote w:type="continuationSeparator" w:id="0">
    <w:p w14:paraId="65B0B2DC" w14:textId="77777777" w:rsidR="00615AE5" w:rsidRDefault="0061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36273"/>
      <w:docPartObj>
        <w:docPartGallery w:val="Page Numbers (Top of Page)"/>
        <w:docPartUnique/>
      </w:docPartObj>
    </w:sdtPr>
    <w:sdtContent>
      <w:p w14:paraId="667BEE80" w14:textId="1E34C3C0" w:rsidR="00156A9F" w:rsidRDefault="00156A9F">
        <w:pPr>
          <w:pStyle w:val="Galvene"/>
          <w:jc w:val="center"/>
        </w:pPr>
        <w:r w:rsidRPr="00156A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56A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56A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56A9F">
          <w:rPr>
            <w:rFonts w:ascii="Times New Roman" w:hAnsi="Times New Roman" w:cs="Times New Roman"/>
            <w:sz w:val="26"/>
            <w:szCs w:val="26"/>
          </w:rPr>
          <w:t>2</w:t>
        </w:r>
        <w:r w:rsidRPr="00156A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B4A"/>
    <w:multiLevelType w:val="hybridMultilevel"/>
    <w:tmpl w:val="6AB0732E"/>
    <w:lvl w:ilvl="0" w:tplc="1602C3E6">
      <w:start w:val="1"/>
      <w:numFmt w:val="decimal"/>
      <w:lvlText w:val="%1."/>
      <w:lvlJc w:val="left"/>
      <w:pPr>
        <w:ind w:left="720" w:hanging="360"/>
      </w:pPr>
    </w:lvl>
    <w:lvl w:ilvl="1" w:tplc="C7A6D926" w:tentative="1">
      <w:start w:val="1"/>
      <w:numFmt w:val="lowerLetter"/>
      <w:lvlText w:val="%2."/>
      <w:lvlJc w:val="left"/>
      <w:pPr>
        <w:ind w:left="1440" w:hanging="360"/>
      </w:pPr>
    </w:lvl>
    <w:lvl w:ilvl="2" w:tplc="43DE27CA" w:tentative="1">
      <w:start w:val="1"/>
      <w:numFmt w:val="lowerRoman"/>
      <w:lvlText w:val="%3."/>
      <w:lvlJc w:val="right"/>
      <w:pPr>
        <w:ind w:left="2160" w:hanging="180"/>
      </w:pPr>
    </w:lvl>
    <w:lvl w:ilvl="3" w:tplc="FB84B82E" w:tentative="1">
      <w:start w:val="1"/>
      <w:numFmt w:val="decimal"/>
      <w:lvlText w:val="%4."/>
      <w:lvlJc w:val="left"/>
      <w:pPr>
        <w:ind w:left="2880" w:hanging="360"/>
      </w:pPr>
    </w:lvl>
    <w:lvl w:ilvl="4" w:tplc="35F2FA8E" w:tentative="1">
      <w:start w:val="1"/>
      <w:numFmt w:val="lowerLetter"/>
      <w:lvlText w:val="%5."/>
      <w:lvlJc w:val="left"/>
      <w:pPr>
        <w:ind w:left="3600" w:hanging="360"/>
      </w:pPr>
    </w:lvl>
    <w:lvl w:ilvl="5" w:tplc="BF5CABD8" w:tentative="1">
      <w:start w:val="1"/>
      <w:numFmt w:val="lowerRoman"/>
      <w:lvlText w:val="%6."/>
      <w:lvlJc w:val="right"/>
      <w:pPr>
        <w:ind w:left="4320" w:hanging="180"/>
      </w:pPr>
    </w:lvl>
    <w:lvl w:ilvl="6" w:tplc="06F0701C" w:tentative="1">
      <w:start w:val="1"/>
      <w:numFmt w:val="decimal"/>
      <w:lvlText w:val="%7."/>
      <w:lvlJc w:val="left"/>
      <w:pPr>
        <w:ind w:left="5040" w:hanging="360"/>
      </w:pPr>
    </w:lvl>
    <w:lvl w:ilvl="7" w:tplc="4BF08CBE" w:tentative="1">
      <w:start w:val="1"/>
      <w:numFmt w:val="lowerLetter"/>
      <w:lvlText w:val="%8."/>
      <w:lvlJc w:val="left"/>
      <w:pPr>
        <w:ind w:left="5760" w:hanging="360"/>
      </w:pPr>
    </w:lvl>
    <w:lvl w:ilvl="8" w:tplc="EB12A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2B24"/>
    <w:multiLevelType w:val="hybridMultilevel"/>
    <w:tmpl w:val="7258FA26"/>
    <w:lvl w:ilvl="0" w:tplc="AF861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1CB2" w:tentative="1">
      <w:start w:val="1"/>
      <w:numFmt w:val="lowerLetter"/>
      <w:lvlText w:val="%2."/>
      <w:lvlJc w:val="left"/>
      <w:pPr>
        <w:ind w:left="1440" w:hanging="360"/>
      </w:pPr>
    </w:lvl>
    <w:lvl w:ilvl="2" w:tplc="5AA616AC" w:tentative="1">
      <w:start w:val="1"/>
      <w:numFmt w:val="lowerRoman"/>
      <w:lvlText w:val="%3."/>
      <w:lvlJc w:val="right"/>
      <w:pPr>
        <w:ind w:left="2160" w:hanging="180"/>
      </w:pPr>
    </w:lvl>
    <w:lvl w:ilvl="3" w:tplc="480A3BAA" w:tentative="1">
      <w:start w:val="1"/>
      <w:numFmt w:val="decimal"/>
      <w:lvlText w:val="%4."/>
      <w:lvlJc w:val="left"/>
      <w:pPr>
        <w:ind w:left="2880" w:hanging="360"/>
      </w:pPr>
    </w:lvl>
    <w:lvl w:ilvl="4" w:tplc="43DA9942" w:tentative="1">
      <w:start w:val="1"/>
      <w:numFmt w:val="lowerLetter"/>
      <w:lvlText w:val="%5."/>
      <w:lvlJc w:val="left"/>
      <w:pPr>
        <w:ind w:left="3600" w:hanging="360"/>
      </w:pPr>
    </w:lvl>
    <w:lvl w:ilvl="5" w:tplc="02FE1544" w:tentative="1">
      <w:start w:val="1"/>
      <w:numFmt w:val="lowerRoman"/>
      <w:lvlText w:val="%6."/>
      <w:lvlJc w:val="right"/>
      <w:pPr>
        <w:ind w:left="4320" w:hanging="180"/>
      </w:pPr>
    </w:lvl>
    <w:lvl w:ilvl="6" w:tplc="193C71E2" w:tentative="1">
      <w:start w:val="1"/>
      <w:numFmt w:val="decimal"/>
      <w:lvlText w:val="%7."/>
      <w:lvlJc w:val="left"/>
      <w:pPr>
        <w:ind w:left="5040" w:hanging="360"/>
      </w:pPr>
    </w:lvl>
    <w:lvl w:ilvl="7" w:tplc="5DD2E01E" w:tentative="1">
      <w:start w:val="1"/>
      <w:numFmt w:val="lowerLetter"/>
      <w:lvlText w:val="%8."/>
      <w:lvlJc w:val="left"/>
      <w:pPr>
        <w:ind w:left="5760" w:hanging="360"/>
      </w:pPr>
    </w:lvl>
    <w:lvl w:ilvl="8" w:tplc="A0C4F8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5926">
    <w:abstractNumId w:val="0"/>
  </w:num>
  <w:num w:numId="2" w16cid:durableId="193397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A0"/>
    <w:rsid w:val="00032505"/>
    <w:rsid w:val="00063E49"/>
    <w:rsid w:val="00082442"/>
    <w:rsid w:val="00093CFF"/>
    <w:rsid w:val="000B1FF8"/>
    <w:rsid w:val="000F1683"/>
    <w:rsid w:val="00101338"/>
    <w:rsid w:val="00104D14"/>
    <w:rsid w:val="001566B6"/>
    <w:rsid w:val="00156A9F"/>
    <w:rsid w:val="001702AB"/>
    <w:rsid w:val="001951A0"/>
    <w:rsid w:val="001C5DA6"/>
    <w:rsid w:val="002006AA"/>
    <w:rsid w:val="00212A2F"/>
    <w:rsid w:val="00262910"/>
    <w:rsid w:val="002640BF"/>
    <w:rsid w:val="00264774"/>
    <w:rsid w:val="00293223"/>
    <w:rsid w:val="002B3405"/>
    <w:rsid w:val="002C249A"/>
    <w:rsid w:val="00331848"/>
    <w:rsid w:val="00334651"/>
    <w:rsid w:val="00337D30"/>
    <w:rsid w:val="00356AFC"/>
    <w:rsid w:val="003602B8"/>
    <w:rsid w:val="0038039B"/>
    <w:rsid w:val="0041514D"/>
    <w:rsid w:val="004223B1"/>
    <w:rsid w:val="00445FC8"/>
    <w:rsid w:val="00483ACF"/>
    <w:rsid w:val="004915A6"/>
    <w:rsid w:val="004C7788"/>
    <w:rsid w:val="004D3BB5"/>
    <w:rsid w:val="00510318"/>
    <w:rsid w:val="0056518B"/>
    <w:rsid w:val="005817BC"/>
    <w:rsid w:val="005950FA"/>
    <w:rsid w:val="005C5A27"/>
    <w:rsid w:val="00615AE5"/>
    <w:rsid w:val="00631E40"/>
    <w:rsid w:val="00640DC7"/>
    <w:rsid w:val="00662DF3"/>
    <w:rsid w:val="006C0300"/>
    <w:rsid w:val="006F50E6"/>
    <w:rsid w:val="00711103"/>
    <w:rsid w:val="0076723E"/>
    <w:rsid w:val="00772D4D"/>
    <w:rsid w:val="007934B2"/>
    <w:rsid w:val="007E1677"/>
    <w:rsid w:val="008263CC"/>
    <w:rsid w:val="00842F5E"/>
    <w:rsid w:val="00852D77"/>
    <w:rsid w:val="00897C30"/>
    <w:rsid w:val="008B4459"/>
    <w:rsid w:val="008E624F"/>
    <w:rsid w:val="00910D10"/>
    <w:rsid w:val="009124CE"/>
    <w:rsid w:val="00925CB9"/>
    <w:rsid w:val="009A39B3"/>
    <w:rsid w:val="009B4CA9"/>
    <w:rsid w:val="009C0C05"/>
    <w:rsid w:val="009F14E2"/>
    <w:rsid w:val="00A144DE"/>
    <w:rsid w:val="00A17E40"/>
    <w:rsid w:val="00A47F25"/>
    <w:rsid w:val="00AF42F6"/>
    <w:rsid w:val="00AF7451"/>
    <w:rsid w:val="00B51146"/>
    <w:rsid w:val="00B52F97"/>
    <w:rsid w:val="00B83D19"/>
    <w:rsid w:val="00BA02FC"/>
    <w:rsid w:val="00BD69C1"/>
    <w:rsid w:val="00BE591E"/>
    <w:rsid w:val="00C127A0"/>
    <w:rsid w:val="00CA2556"/>
    <w:rsid w:val="00CE635B"/>
    <w:rsid w:val="00D61454"/>
    <w:rsid w:val="00D75935"/>
    <w:rsid w:val="00DA35C2"/>
    <w:rsid w:val="00DE1D0E"/>
    <w:rsid w:val="00E2128D"/>
    <w:rsid w:val="00EB56CC"/>
    <w:rsid w:val="00EE719B"/>
    <w:rsid w:val="00F030C0"/>
    <w:rsid w:val="00F77DE9"/>
    <w:rsid w:val="00F9638E"/>
    <w:rsid w:val="00F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F389B"/>
  <w15:chartTrackingRefBased/>
  <w15:docId w15:val="{498F2D84-D083-4B83-9B11-A8301016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5DA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5DA6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1C5D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5DA6"/>
  </w:style>
  <w:style w:type="table" w:styleId="Reatabula">
    <w:name w:val="Table Grid"/>
    <w:basedOn w:val="Parastatabula"/>
    <w:uiPriority w:val="39"/>
    <w:rsid w:val="001C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64774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6477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264774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56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DBF6-EB05-474F-BCBD-CC9A9D5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Reksnis</dc:creator>
  <cp:lastModifiedBy>Elija Astreiko</cp:lastModifiedBy>
  <cp:revision>8</cp:revision>
  <dcterms:created xsi:type="dcterms:W3CDTF">2025-07-03T11:56:00Z</dcterms:created>
  <dcterms:modified xsi:type="dcterms:W3CDTF">2025-07-21T08:26:00Z</dcterms:modified>
</cp:coreProperties>
</file>