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2EF5" w14:textId="77777777" w:rsidR="00CC47EB" w:rsidRDefault="00CC47EB" w:rsidP="00CC47EB">
      <w:pPr>
        <w:jc w:val="right"/>
        <w:rPr>
          <w:rFonts w:eastAsia="Times New Roman" w:cs="Times New Roman"/>
          <w:bCs/>
          <w:i/>
          <w:iCs/>
          <w:sz w:val="22"/>
          <w:lang w:eastAsia="lv-LV"/>
        </w:rPr>
      </w:pPr>
      <w:r w:rsidRPr="00CC47EB">
        <w:rPr>
          <w:rFonts w:eastAsia="Times New Roman" w:cs="Times New Roman"/>
          <w:bCs/>
          <w:i/>
          <w:iCs/>
          <w:sz w:val="22"/>
          <w:lang w:eastAsia="lv-LV"/>
        </w:rPr>
        <w:t xml:space="preserve">2. Pielikums Tirgus izpētei Nr. 10 </w:t>
      </w:r>
    </w:p>
    <w:p w14:paraId="7A4274D4" w14:textId="72892166" w:rsidR="00E86B03" w:rsidRDefault="00CC47EB" w:rsidP="00CC47EB">
      <w:pPr>
        <w:jc w:val="right"/>
        <w:rPr>
          <w:rFonts w:eastAsia="Times New Roman" w:cs="Times New Roman"/>
          <w:bCs/>
          <w:i/>
          <w:iCs/>
          <w:sz w:val="22"/>
          <w:lang w:eastAsia="lv-LV"/>
        </w:rPr>
      </w:pPr>
      <w:r w:rsidRPr="00CC47EB">
        <w:rPr>
          <w:rFonts w:eastAsia="Times New Roman" w:cs="Times New Roman"/>
          <w:bCs/>
          <w:i/>
          <w:iCs/>
          <w:sz w:val="22"/>
          <w:lang w:eastAsia="lv-LV"/>
        </w:rPr>
        <w:t xml:space="preserve">“Par </w:t>
      </w:r>
      <w:bookmarkStart w:id="0" w:name="_Hlk205210262"/>
      <w:r w:rsidRPr="00CC47EB">
        <w:rPr>
          <w:rFonts w:eastAsia="Times New Roman" w:cs="Times New Roman"/>
          <w:bCs/>
          <w:i/>
          <w:iCs/>
          <w:sz w:val="22"/>
          <w:lang w:eastAsia="lv-LV"/>
        </w:rPr>
        <w:t>gaisa kuģu apdrošināšanas iegādi</w:t>
      </w:r>
      <w:bookmarkEnd w:id="0"/>
      <w:r w:rsidRPr="00CC47EB">
        <w:rPr>
          <w:rFonts w:eastAsia="Times New Roman" w:cs="Times New Roman"/>
          <w:bCs/>
          <w:i/>
          <w:iCs/>
          <w:sz w:val="22"/>
          <w:lang w:eastAsia="lv-LV"/>
        </w:rPr>
        <w:t>”</w:t>
      </w:r>
    </w:p>
    <w:p w14:paraId="0D48CCB4" w14:textId="77777777" w:rsidR="00CC47EB" w:rsidRPr="00CC47EB" w:rsidRDefault="00CC47EB" w:rsidP="00CC47EB">
      <w:pPr>
        <w:jc w:val="right"/>
        <w:rPr>
          <w:rFonts w:eastAsia="Times New Roman" w:cs="Times New Roman"/>
          <w:bCs/>
          <w:i/>
          <w:iCs/>
          <w:sz w:val="22"/>
          <w:lang w:eastAsia="lv-LV"/>
        </w:rPr>
      </w:pPr>
    </w:p>
    <w:p w14:paraId="6288DC7A" w14:textId="1C7A8E79" w:rsidR="00E86B03" w:rsidRPr="00CC47EB" w:rsidRDefault="00E86B03" w:rsidP="00CC47EB">
      <w:pPr>
        <w:contextualSpacing/>
        <w:jc w:val="center"/>
        <w:rPr>
          <w:rFonts w:eastAsia="Times New Roman" w:cs="Times New Roman"/>
          <w:b/>
          <w:caps/>
          <w:sz w:val="26"/>
          <w:szCs w:val="26"/>
          <w:lang w:eastAsia="lv-LV"/>
        </w:rPr>
      </w:pPr>
      <w:r w:rsidRPr="00CC47EB">
        <w:rPr>
          <w:rFonts w:eastAsia="Times New Roman" w:cs="Times New Roman"/>
          <w:b/>
          <w:caps/>
          <w:sz w:val="26"/>
          <w:szCs w:val="26"/>
          <w:lang w:eastAsia="lv-LV"/>
        </w:rPr>
        <w:t>Tehnisk</w:t>
      </w:r>
      <w:r w:rsidR="00CC47EB">
        <w:rPr>
          <w:rFonts w:eastAsia="Times New Roman" w:cs="Times New Roman"/>
          <w:b/>
          <w:caps/>
          <w:sz w:val="26"/>
          <w:szCs w:val="26"/>
          <w:lang w:eastAsia="lv-LV"/>
        </w:rPr>
        <w:t>Ā SPECIFIKĀCIJA</w:t>
      </w:r>
    </w:p>
    <w:p w14:paraId="669E5A16" w14:textId="197FEE06" w:rsidR="00936765" w:rsidRPr="00502105" w:rsidRDefault="00936765" w:rsidP="00502105">
      <w:pPr>
        <w:ind w:left="66"/>
        <w:contextualSpacing/>
        <w:jc w:val="right"/>
        <w:rPr>
          <w:rFonts w:eastAsia="Times New Roman" w:cs="Times New Roman"/>
          <w:b/>
          <w:i/>
          <w:iCs/>
          <w:caps/>
          <w:sz w:val="28"/>
          <w:szCs w:val="28"/>
          <w:lang w:eastAsia="lv-LV"/>
        </w:rPr>
      </w:pPr>
    </w:p>
    <w:tbl>
      <w:tblPr>
        <w:tblpPr w:leftFromText="180" w:rightFromText="180" w:vertAnchor="text" w:tblpX="-572" w:tblpY="1"/>
        <w:tblOverlap w:val="neve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0"/>
        <w:gridCol w:w="6161"/>
        <w:gridCol w:w="2763"/>
        <w:gridCol w:w="8"/>
      </w:tblGrid>
      <w:tr w:rsidR="00E86B03" w:rsidRPr="00CC47EB" w14:paraId="592DCC3C" w14:textId="77777777" w:rsidTr="00CC47EB">
        <w:trPr>
          <w:trHeight w:val="123"/>
          <w:tblHeader/>
        </w:trPr>
        <w:tc>
          <w:tcPr>
            <w:tcW w:w="467" w:type="pct"/>
            <w:shd w:val="clear" w:color="auto" w:fill="BFBFBF" w:themeFill="background1" w:themeFillShade="BF"/>
            <w:vAlign w:val="center"/>
          </w:tcPr>
          <w:p w14:paraId="09887A92" w14:textId="77777777" w:rsidR="00E1001A" w:rsidRPr="00CC47EB" w:rsidRDefault="00E86B03" w:rsidP="00CC47EB">
            <w:pPr>
              <w:ind w:firstLine="95"/>
              <w:jc w:val="center"/>
              <w:rPr>
                <w:rFonts w:eastAsia="Times New Roman" w:cs="Times New Roman"/>
                <w:b/>
                <w:sz w:val="26"/>
                <w:szCs w:val="26"/>
                <w:lang w:eastAsia="lv-LV"/>
              </w:rPr>
            </w:pPr>
            <w:r w:rsidRPr="00CC47EB">
              <w:rPr>
                <w:rFonts w:eastAsia="Times New Roman" w:cs="Times New Roman"/>
                <w:b/>
                <w:sz w:val="26"/>
                <w:szCs w:val="26"/>
                <w:lang w:eastAsia="lv-LV"/>
              </w:rPr>
              <w:t xml:space="preserve">Nr. </w:t>
            </w:r>
          </w:p>
          <w:p w14:paraId="4FCEB11D" w14:textId="04BE09BE" w:rsidR="00E86B03" w:rsidRPr="00CC47EB" w:rsidRDefault="00E86B03" w:rsidP="00CC47EB">
            <w:pPr>
              <w:jc w:val="center"/>
              <w:rPr>
                <w:rFonts w:eastAsia="Times New Roman" w:cs="Times New Roman"/>
                <w:b/>
                <w:sz w:val="26"/>
                <w:szCs w:val="26"/>
                <w:lang w:eastAsia="lv-LV"/>
              </w:rPr>
            </w:pPr>
            <w:r w:rsidRPr="00CC47EB">
              <w:rPr>
                <w:rFonts w:eastAsia="Times New Roman" w:cs="Times New Roman"/>
                <w:b/>
                <w:sz w:val="26"/>
                <w:szCs w:val="26"/>
                <w:lang w:eastAsia="lv-LV"/>
              </w:rPr>
              <w:t>p.k.</w:t>
            </w:r>
          </w:p>
        </w:tc>
        <w:tc>
          <w:tcPr>
            <w:tcW w:w="3127" w:type="pct"/>
            <w:shd w:val="clear" w:color="auto" w:fill="BFBFBF" w:themeFill="background1" w:themeFillShade="BF"/>
            <w:vAlign w:val="center"/>
          </w:tcPr>
          <w:p w14:paraId="476D88E4" w14:textId="77777777" w:rsidR="00E86B03" w:rsidRPr="00CC47EB" w:rsidRDefault="00E86B03" w:rsidP="00CC47EB">
            <w:pPr>
              <w:tabs>
                <w:tab w:val="left" w:pos="1725"/>
              </w:tabs>
              <w:jc w:val="center"/>
              <w:rPr>
                <w:rFonts w:eastAsia="Times New Roman" w:cs="Times New Roman"/>
                <w:b/>
                <w:sz w:val="26"/>
                <w:szCs w:val="26"/>
                <w:lang w:eastAsia="lv-LV"/>
              </w:rPr>
            </w:pPr>
            <w:r w:rsidRPr="00CC47EB">
              <w:rPr>
                <w:rFonts w:eastAsia="Times New Roman" w:cs="Times New Roman"/>
                <w:b/>
                <w:sz w:val="26"/>
                <w:szCs w:val="26"/>
                <w:lang w:eastAsia="lv-LV"/>
              </w:rPr>
              <w:t>Obligātās</w:t>
            </w:r>
            <w:r w:rsidR="00194A2E" w:rsidRPr="00CC47EB">
              <w:rPr>
                <w:rFonts w:eastAsia="Times New Roman" w:cs="Times New Roman"/>
                <w:b/>
                <w:sz w:val="26"/>
                <w:szCs w:val="26"/>
                <w:lang w:eastAsia="lv-LV"/>
              </w:rPr>
              <w:t xml:space="preserve"> (minimālās)</w:t>
            </w:r>
            <w:r w:rsidRPr="00CC47EB">
              <w:rPr>
                <w:rFonts w:eastAsia="Times New Roman" w:cs="Times New Roman"/>
                <w:b/>
                <w:sz w:val="26"/>
                <w:szCs w:val="26"/>
                <w:lang w:eastAsia="lv-LV"/>
              </w:rPr>
              <w:t xml:space="preserve"> prasības</w:t>
            </w:r>
          </w:p>
        </w:tc>
        <w:tc>
          <w:tcPr>
            <w:tcW w:w="1405" w:type="pct"/>
            <w:gridSpan w:val="2"/>
            <w:shd w:val="clear" w:color="auto" w:fill="BFBFBF" w:themeFill="background1" w:themeFillShade="BF"/>
            <w:vAlign w:val="center"/>
          </w:tcPr>
          <w:p w14:paraId="454091FF" w14:textId="7B621F3E" w:rsidR="00E86B03" w:rsidRPr="00047CA9" w:rsidRDefault="00E86B03" w:rsidP="00047CA9">
            <w:pPr>
              <w:jc w:val="center"/>
              <w:rPr>
                <w:rFonts w:eastAsia="Times New Roman" w:cs="Times New Roman"/>
                <w:b/>
                <w:sz w:val="26"/>
                <w:szCs w:val="26"/>
                <w:lang w:eastAsia="lv-LV"/>
              </w:rPr>
            </w:pPr>
            <w:r w:rsidRPr="00CC47EB">
              <w:rPr>
                <w:rFonts w:eastAsia="Times New Roman" w:cs="Times New Roman"/>
                <w:b/>
                <w:sz w:val="26"/>
                <w:szCs w:val="26"/>
                <w:lang w:eastAsia="lv-LV"/>
              </w:rPr>
              <w:t>Pretendenta piedāvā</w:t>
            </w:r>
            <w:r w:rsidR="00CC47EB">
              <w:rPr>
                <w:rFonts w:eastAsia="Times New Roman" w:cs="Times New Roman"/>
                <w:b/>
                <w:sz w:val="26"/>
                <w:szCs w:val="26"/>
                <w:lang w:eastAsia="lv-LV"/>
              </w:rPr>
              <w:t>jums</w:t>
            </w:r>
          </w:p>
        </w:tc>
      </w:tr>
      <w:tr w:rsidR="00E86B03" w:rsidRPr="00CC47EB" w14:paraId="3D60F6EE" w14:textId="7777777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CC47EB" w:rsidRDefault="00E86B03" w:rsidP="00CC47EB">
            <w:pPr>
              <w:pStyle w:val="Sarakstarindkopa"/>
              <w:numPr>
                <w:ilvl w:val="0"/>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9787608" w:rsidR="00E86B03" w:rsidRPr="00CC47EB" w:rsidRDefault="006F40D8" w:rsidP="00CC47EB">
            <w:pPr>
              <w:tabs>
                <w:tab w:val="left" w:pos="1049"/>
                <w:tab w:val="center" w:pos="4247"/>
              </w:tabs>
              <w:jc w:val="center"/>
              <w:rPr>
                <w:rFonts w:eastAsia="Times New Roman" w:cs="Times New Roman"/>
                <w:sz w:val="26"/>
                <w:szCs w:val="26"/>
                <w:lang w:eastAsia="lv-LV"/>
              </w:rPr>
            </w:pPr>
            <w:r w:rsidRPr="00CC47EB">
              <w:rPr>
                <w:rFonts w:eastAsia="Times New Roman" w:cs="Times New Roman"/>
                <w:b/>
                <w:bCs/>
                <w:sz w:val="26"/>
                <w:szCs w:val="26"/>
                <w:lang w:eastAsia="lv-LV"/>
              </w:rPr>
              <w:t>Iepirkuma priekšmets</w:t>
            </w:r>
            <w:r w:rsidRPr="00CC47EB">
              <w:rPr>
                <w:rFonts w:cs="Times New Roman"/>
                <w:sz w:val="26"/>
                <w:szCs w:val="26"/>
              </w:rPr>
              <w:tab/>
            </w:r>
          </w:p>
        </w:tc>
      </w:tr>
      <w:tr w:rsidR="003548B5" w:rsidRPr="00CC47EB" w14:paraId="0BDC8608" w14:textId="381F8205"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F8B8" w14:textId="77777777" w:rsidR="003548B5" w:rsidRPr="00CC47EB" w:rsidRDefault="003548B5" w:rsidP="00CC47EB">
            <w:pPr>
              <w:pStyle w:val="Sarakstarindkopa"/>
              <w:numPr>
                <w:ilvl w:val="1"/>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FFFFFF" w:themeFill="background1"/>
          </w:tcPr>
          <w:p w14:paraId="2BCBD05C" w14:textId="6DFB8FD1" w:rsidR="007E5251" w:rsidRPr="00CC47EB" w:rsidRDefault="0038027D" w:rsidP="007324C4">
            <w:pPr>
              <w:ind w:right="358"/>
              <w:jc w:val="both"/>
              <w:rPr>
                <w:rFonts w:cs="Times New Roman"/>
                <w:sz w:val="26"/>
                <w:szCs w:val="26"/>
              </w:rPr>
            </w:pPr>
            <w:r w:rsidRPr="00CC47EB">
              <w:rPr>
                <w:rFonts w:cs="Times New Roman"/>
                <w:sz w:val="26"/>
                <w:szCs w:val="26"/>
              </w:rPr>
              <w:t>Rīgas valstspilsētas pašvaldī</w:t>
            </w:r>
            <w:r w:rsidR="009769D2" w:rsidRPr="00CC47EB">
              <w:rPr>
                <w:rFonts w:cs="Times New Roman"/>
                <w:sz w:val="26"/>
                <w:szCs w:val="26"/>
              </w:rPr>
              <w:t>bas policijas</w:t>
            </w:r>
            <w:r w:rsidR="0085585C" w:rsidRPr="00CC47EB">
              <w:rPr>
                <w:rFonts w:cs="Times New Roman"/>
                <w:sz w:val="26"/>
                <w:szCs w:val="26"/>
              </w:rPr>
              <w:t xml:space="preserve"> </w:t>
            </w:r>
            <w:r w:rsidR="00B90384" w:rsidRPr="00CC47EB">
              <w:rPr>
                <w:rFonts w:cs="Times New Roman"/>
                <w:sz w:val="26"/>
                <w:szCs w:val="26"/>
              </w:rPr>
              <w:t xml:space="preserve">(turpmāk – Pasūtītājs) </w:t>
            </w:r>
            <w:r w:rsidR="0085585C" w:rsidRPr="00CC47EB">
              <w:rPr>
                <w:rFonts w:cs="Times New Roman"/>
                <w:sz w:val="26"/>
                <w:szCs w:val="26"/>
              </w:rPr>
              <w:t>bezpilota gaisa kuģu</w:t>
            </w:r>
            <w:r w:rsidR="00C42D6E" w:rsidRPr="00CC47EB">
              <w:rPr>
                <w:rFonts w:cs="Times New Roman"/>
                <w:sz w:val="26"/>
                <w:szCs w:val="26"/>
              </w:rPr>
              <w:t xml:space="preserve"> </w:t>
            </w:r>
            <w:r w:rsidR="003E0177" w:rsidRPr="00CC47EB">
              <w:rPr>
                <w:rFonts w:cs="Times New Roman"/>
                <w:sz w:val="26"/>
                <w:szCs w:val="26"/>
              </w:rPr>
              <w:t xml:space="preserve">(turpmāk – BGK) </w:t>
            </w:r>
            <w:r w:rsidR="00C42D6E" w:rsidRPr="00CC47EB">
              <w:rPr>
                <w:rFonts w:cs="Times New Roman"/>
                <w:sz w:val="26"/>
                <w:szCs w:val="26"/>
              </w:rPr>
              <w:t>īpašnieka</w:t>
            </w:r>
            <w:r w:rsidR="00C42D6E" w:rsidRPr="00CC47EB">
              <w:rPr>
                <w:rFonts w:eastAsia="Times New Roman" w:cs="Times New Roman"/>
                <w:sz w:val="26"/>
                <w:szCs w:val="26"/>
                <w:lang w:eastAsia="lv-LV"/>
              </w:rPr>
              <w:t xml:space="preserve"> civiltiesiskās atbildības</w:t>
            </w:r>
            <w:r w:rsidR="00210027" w:rsidRPr="00CC47EB">
              <w:rPr>
                <w:rFonts w:eastAsia="Times New Roman" w:cs="Times New Roman"/>
                <w:sz w:val="26"/>
                <w:szCs w:val="26"/>
                <w:lang w:eastAsia="lv-LV"/>
              </w:rPr>
              <w:t xml:space="preserve"> </w:t>
            </w:r>
            <w:r w:rsidR="00B90384" w:rsidRPr="00CC47EB">
              <w:rPr>
                <w:rFonts w:eastAsia="Times New Roman" w:cs="Times New Roman"/>
                <w:sz w:val="26"/>
                <w:szCs w:val="26"/>
                <w:lang w:eastAsia="lv-LV"/>
              </w:rPr>
              <w:t xml:space="preserve">apdrošināšana </w:t>
            </w:r>
            <w:r w:rsidR="00210027" w:rsidRPr="00CC47EB">
              <w:rPr>
                <w:rFonts w:eastAsia="Times New Roman" w:cs="Times New Roman"/>
                <w:sz w:val="26"/>
                <w:szCs w:val="26"/>
                <w:lang w:eastAsia="lv-LV"/>
              </w:rPr>
              <w:t xml:space="preserve">un </w:t>
            </w:r>
            <w:r w:rsidR="00A92765" w:rsidRPr="00CC47EB">
              <w:rPr>
                <w:rFonts w:eastAsia="Times New Roman" w:cs="Times New Roman"/>
                <w:sz w:val="26"/>
                <w:szCs w:val="26"/>
                <w:lang w:eastAsia="lv-LV"/>
              </w:rPr>
              <w:t xml:space="preserve">paša BGK </w:t>
            </w:r>
            <w:r w:rsidR="003E0177" w:rsidRPr="00CC47EB">
              <w:rPr>
                <w:rFonts w:eastAsia="Times New Roman" w:cs="Times New Roman"/>
                <w:sz w:val="26"/>
                <w:szCs w:val="26"/>
                <w:lang w:eastAsia="lv-LV"/>
              </w:rPr>
              <w:t>(lidaparāts, vadības pults, akumulatori</w:t>
            </w:r>
            <w:r w:rsidR="00676EFF" w:rsidRPr="00CC47EB">
              <w:rPr>
                <w:rFonts w:eastAsia="Times New Roman" w:cs="Times New Roman"/>
                <w:sz w:val="26"/>
                <w:szCs w:val="26"/>
                <w:lang w:eastAsia="lv-LV"/>
              </w:rPr>
              <w:t xml:space="preserve">, BGK </w:t>
            </w:r>
            <w:r w:rsidR="00A92765" w:rsidRPr="00CC47EB">
              <w:rPr>
                <w:rFonts w:eastAsia="Times New Roman" w:cs="Times New Roman"/>
                <w:sz w:val="26"/>
                <w:szCs w:val="26"/>
                <w:lang w:eastAsia="lv-LV"/>
              </w:rPr>
              <w:t xml:space="preserve">ar papildaprīkojumu </w:t>
            </w:r>
            <w:r w:rsidR="007C53D3" w:rsidRPr="00CC47EB">
              <w:rPr>
                <w:rFonts w:eastAsia="Times New Roman" w:cs="Times New Roman"/>
                <w:sz w:val="26"/>
                <w:szCs w:val="26"/>
                <w:lang w:eastAsia="lv-LV"/>
              </w:rPr>
              <w:t xml:space="preserve">(dokstacija) </w:t>
            </w:r>
            <w:r w:rsidR="00A92765" w:rsidRPr="00CC47EB">
              <w:rPr>
                <w:rFonts w:eastAsia="Times New Roman" w:cs="Times New Roman"/>
                <w:sz w:val="26"/>
                <w:szCs w:val="26"/>
                <w:lang w:eastAsia="lv-LV"/>
              </w:rPr>
              <w:t xml:space="preserve">apdrošināšana </w:t>
            </w:r>
            <w:r w:rsidR="00A92765" w:rsidRPr="00CC47EB">
              <w:rPr>
                <w:rFonts w:cs="Times New Roman"/>
                <w:sz w:val="26"/>
                <w:szCs w:val="26"/>
              </w:rPr>
              <w:t>(turpmāk norādītie apdrošināšanas veidi kopā – apdrošināšana)</w:t>
            </w:r>
            <w:r w:rsidR="00A92765" w:rsidRPr="00CC47EB">
              <w:rPr>
                <w:rFonts w:eastAsia="Times New Roman" w:cs="Times New Roman"/>
                <w:sz w:val="26"/>
                <w:szCs w:val="26"/>
                <w:lang w:eastAsia="lv-LV"/>
              </w:rPr>
              <w:t>.</w:t>
            </w:r>
          </w:p>
        </w:tc>
      </w:tr>
      <w:tr w:rsidR="001128B7" w:rsidRPr="00CC47EB" w14:paraId="17A99597" w14:textId="7777777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49FA" w14:textId="77777777" w:rsidR="001128B7" w:rsidRPr="00CC47EB" w:rsidRDefault="001128B7" w:rsidP="00CC47EB">
            <w:pPr>
              <w:pStyle w:val="Sarakstarindkopa"/>
              <w:numPr>
                <w:ilvl w:val="1"/>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FFFFFF" w:themeFill="background1"/>
          </w:tcPr>
          <w:p w14:paraId="74A5CCAA" w14:textId="346462CE" w:rsidR="001128B7" w:rsidRPr="00CC47EB" w:rsidRDefault="001128B7" w:rsidP="00CC47EB">
            <w:pPr>
              <w:jc w:val="both"/>
              <w:rPr>
                <w:rFonts w:cs="Times New Roman"/>
                <w:sz w:val="26"/>
                <w:szCs w:val="26"/>
              </w:rPr>
            </w:pPr>
            <w:r w:rsidRPr="00CC47EB">
              <w:rPr>
                <w:rFonts w:cs="Times New Roman"/>
                <w:sz w:val="26"/>
                <w:szCs w:val="26"/>
              </w:rPr>
              <w:t>Ap</w:t>
            </w:r>
            <w:r w:rsidR="00C354F3" w:rsidRPr="00CC47EB">
              <w:rPr>
                <w:rFonts w:cs="Times New Roman"/>
                <w:sz w:val="26"/>
                <w:szCs w:val="26"/>
              </w:rPr>
              <w:t>drošināšana attiecās uz Atvērtās un Specifiskās kategorijas lidojumiem.</w:t>
            </w:r>
          </w:p>
        </w:tc>
      </w:tr>
      <w:tr w:rsidR="00ED636E" w:rsidRPr="00CC47EB" w14:paraId="7BB7C607"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5A3C6" w14:textId="77777777" w:rsidR="00ED636E" w:rsidRPr="00CC47EB" w:rsidRDefault="00ED636E" w:rsidP="00CC47EB">
            <w:pPr>
              <w:pStyle w:val="Sarakstarindkopa"/>
              <w:numPr>
                <w:ilvl w:val="1"/>
                <w:numId w:val="32"/>
              </w:numPr>
              <w:ind w:hanging="578"/>
              <w:rPr>
                <w:rFonts w:eastAsia="Times New Roman" w:cs="Times New Roman"/>
                <w:b/>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70E0D0D1" w14:textId="3370644D" w:rsidR="00ED636E" w:rsidRPr="00CC47EB" w:rsidRDefault="00ED636E" w:rsidP="00CC47EB">
            <w:pPr>
              <w:ind w:right="343"/>
              <w:jc w:val="both"/>
              <w:rPr>
                <w:rFonts w:cs="Times New Roman"/>
                <w:sz w:val="26"/>
                <w:szCs w:val="26"/>
              </w:rPr>
            </w:pPr>
            <w:r w:rsidRPr="00CC47EB">
              <w:rPr>
                <w:rFonts w:cs="Times New Roman"/>
                <w:sz w:val="26"/>
                <w:szCs w:val="26"/>
              </w:rPr>
              <w:t>Apdrošināšanai jāatbilst</w:t>
            </w:r>
            <w:r w:rsidR="00790F39" w:rsidRPr="00CC47EB">
              <w:rPr>
                <w:rFonts w:cs="Times New Roman"/>
                <w:b/>
                <w:bCs/>
                <w:color w:val="333333"/>
                <w:sz w:val="26"/>
                <w:szCs w:val="26"/>
                <w:shd w:val="clear" w:color="auto" w:fill="FFFFFF"/>
              </w:rPr>
              <w:t xml:space="preserve"> </w:t>
            </w:r>
            <w:r w:rsidR="00790F39" w:rsidRPr="00CC47EB">
              <w:rPr>
                <w:rFonts w:cs="Times New Roman"/>
                <w:sz w:val="26"/>
                <w:szCs w:val="26"/>
              </w:rPr>
              <w:t>Eiropas Parlamenta un Padomes Regula</w:t>
            </w:r>
            <w:r w:rsidR="00694A36" w:rsidRPr="00CC47EB">
              <w:rPr>
                <w:rFonts w:cs="Times New Roman"/>
                <w:sz w:val="26"/>
                <w:szCs w:val="26"/>
              </w:rPr>
              <w:t>i</w:t>
            </w:r>
            <w:r w:rsidR="00790F39" w:rsidRPr="00CC47EB">
              <w:rPr>
                <w:rFonts w:cs="Times New Roman"/>
                <w:sz w:val="26"/>
                <w:szCs w:val="26"/>
              </w:rPr>
              <w:t xml:space="preserve"> (EK) Nr. 785/2004 (2004. gada 21. aprīlis) par apdrošināšanas prasībām, kas attiecas uz gaisa pārvadātājiem un gaisa k</w:t>
            </w:r>
            <w:r w:rsidR="00694A36" w:rsidRPr="00CC47EB">
              <w:rPr>
                <w:rFonts w:cs="Times New Roman"/>
                <w:sz w:val="26"/>
                <w:szCs w:val="26"/>
              </w:rPr>
              <w:t>uģ</w:t>
            </w:r>
            <w:r w:rsidR="00790F39" w:rsidRPr="00CC47EB">
              <w:rPr>
                <w:rFonts w:cs="Times New Roman"/>
                <w:sz w:val="26"/>
                <w:szCs w:val="26"/>
              </w:rPr>
              <w:t>u ekspluatantiem</w:t>
            </w:r>
            <w:r w:rsidR="00694A36" w:rsidRPr="00CC47EB">
              <w:rPr>
                <w:rFonts w:cs="Times New Roman"/>
                <w:sz w:val="26"/>
                <w:szCs w:val="26"/>
              </w:rPr>
              <w:t>.</w:t>
            </w:r>
          </w:p>
        </w:tc>
      </w:tr>
      <w:tr w:rsidR="00ED636E" w:rsidRPr="00CC47EB" w14:paraId="6FB6D46A"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9696" w14:textId="77777777" w:rsidR="00ED636E" w:rsidRPr="00CC47EB" w:rsidRDefault="00ED636E" w:rsidP="00CC47EB">
            <w:pPr>
              <w:pStyle w:val="Sarakstarindkopa"/>
              <w:numPr>
                <w:ilvl w:val="1"/>
                <w:numId w:val="32"/>
              </w:numPr>
              <w:ind w:hanging="578"/>
              <w:rPr>
                <w:rFonts w:eastAsia="Times New Roman" w:cs="Times New Roman"/>
                <w:b/>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3CFA7712" w14:textId="4F9536E4" w:rsidR="00ED636E" w:rsidRPr="00CC47EB" w:rsidRDefault="00ED636E" w:rsidP="00CC47EB">
            <w:pPr>
              <w:ind w:right="343"/>
              <w:jc w:val="both"/>
              <w:rPr>
                <w:rFonts w:cs="Times New Roman"/>
                <w:sz w:val="26"/>
                <w:szCs w:val="26"/>
              </w:rPr>
            </w:pPr>
            <w:r w:rsidRPr="00CC47EB">
              <w:rPr>
                <w:rFonts w:cs="Times New Roman"/>
                <w:sz w:val="26"/>
                <w:szCs w:val="26"/>
              </w:rPr>
              <w:t>Piegādātājs atlīdzina arī darbinieku nodarītos zaudējumus, regresa prasība par izmaksāto apdrošināšanas atlīdzību netiek vērsta pret apdrošinājuma ņēmēju un/vai tā darbiniekiem, izņemot, ja darbinieki ir rīkojušies ar ļaunu nolūku.</w:t>
            </w:r>
          </w:p>
        </w:tc>
      </w:tr>
      <w:tr w:rsidR="00A62022" w:rsidRPr="00CC47EB" w14:paraId="64B1F907"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DCCC9" w14:textId="0FC0A830" w:rsidR="00A62022" w:rsidRPr="00CC47EB" w:rsidRDefault="00A62022" w:rsidP="00CC47EB">
            <w:pPr>
              <w:pStyle w:val="Sarakstarindkopa"/>
              <w:numPr>
                <w:ilvl w:val="0"/>
                <w:numId w:val="32"/>
              </w:numPr>
              <w:rPr>
                <w:rFonts w:eastAsia="Times New Roman" w:cs="Times New Roman"/>
                <w:b/>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D9D9D9" w:themeFill="background1" w:themeFillShade="D9"/>
          </w:tcPr>
          <w:p w14:paraId="14D5AF47" w14:textId="2DAA8653" w:rsidR="00A62022" w:rsidRPr="00CC47EB" w:rsidRDefault="00A62022" w:rsidP="00CC47EB">
            <w:pPr>
              <w:jc w:val="center"/>
              <w:rPr>
                <w:rFonts w:cs="Times New Roman"/>
                <w:sz w:val="26"/>
                <w:szCs w:val="26"/>
              </w:rPr>
            </w:pPr>
            <w:r w:rsidRPr="00CC47EB">
              <w:rPr>
                <w:rFonts w:cs="Times New Roman"/>
                <w:b/>
                <w:bCs/>
                <w:sz w:val="26"/>
                <w:szCs w:val="26"/>
              </w:rPr>
              <w:t>Apdrošinātie riski</w:t>
            </w:r>
          </w:p>
        </w:tc>
      </w:tr>
      <w:tr w:rsidR="00ED636E" w:rsidRPr="00CC47EB" w14:paraId="4ACBAAA0"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1DF94" w14:textId="77777777" w:rsidR="00ED636E" w:rsidRPr="00CC47EB" w:rsidRDefault="00ED636E" w:rsidP="00CC47EB">
            <w:pPr>
              <w:pStyle w:val="Sarakstarindkopa"/>
              <w:numPr>
                <w:ilvl w:val="1"/>
                <w:numId w:val="32"/>
              </w:numPr>
              <w:ind w:hanging="578"/>
              <w:rPr>
                <w:rFonts w:eastAsia="Times New Roman" w:cs="Times New Roman"/>
                <w:b/>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283D17ED" w14:textId="28AC89BD" w:rsidR="00ED636E" w:rsidRPr="00CC47EB" w:rsidRDefault="00ED636E" w:rsidP="00CC47EB">
            <w:pPr>
              <w:rPr>
                <w:rFonts w:cs="Times New Roman"/>
                <w:sz w:val="26"/>
                <w:szCs w:val="26"/>
              </w:rPr>
            </w:pPr>
            <w:r w:rsidRPr="00CC47EB">
              <w:rPr>
                <w:rFonts w:cs="Times New Roman"/>
                <w:sz w:val="26"/>
                <w:szCs w:val="26"/>
              </w:rPr>
              <w:t xml:space="preserve">Civiltiesiskās atbildības apdrošinātie riski: </w:t>
            </w:r>
          </w:p>
        </w:tc>
      </w:tr>
      <w:tr w:rsidR="00ED636E" w:rsidRPr="00CC47EB" w14:paraId="4A0FED1D"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DE85" w14:textId="77777777" w:rsidR="00ED636E" w:rsidRPr="00CC47EB" w:rsidRDefault="00ED636E" w:rsidP="00CC47EB">
            <w:pPr>
              <w:pStyle w:val="Sarakstarindkopa"/>
              <w:numPr>
                <w:ilvl w:val="2"/>
                <w:numId w:val="32"/>
              </w:numPr>
              <w:ind w:left="426" w:hanging="284"/>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45362AAC" w14:textId="7DC34C08" w:rsidR="00ED636E" w:rsidRPr="00CC47EB" w:rsidRDefault="00ED636E" w:rsidP="00CC47EB">
            <w:pPr>
              <w:rPr>
                <w:rFonts w:cs="Times New Roman"/>
                <w:sz w:val="26"/>
                <w:szCs w:val="26"/>
              </w:rPr>
            </w:pPr>
            <w:r w:rsidRPr="00CC47EB">
              <w:rPr>
                <w:rFonts w:cs="Times New Roman"/>
                <w:sz w:val="26"/>
                <w:szCs w:val="26"/>
              </w:rPr>
              <w:t>Trešo personu dzīvībai vai veselībai nodarīts kaitējums</w:t>
            </w:r>
          </w:p>
        </w:tc>
      </w:tr>
      <w:tr w:rsidR="00ED636E" w:rsidRPr="00CC47EB" w14:paraId="3D96D850"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3DC6"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5147766B" w14:textId="62611052" w:rsidR="00ED636E" w:rsidRPr="00CC47EB" w:rsidRDefault="00ED636E" w:rsidP="00CC47EB">
            <w:pPr>
              <w:rPr>
                <w:rFonts w:cs="Times New Roman"/>
                <w:sz w:val="26"/>
                <w:szCs w:val="26"/>
              </w:rPr>
            </w:pPr>
            <w:r w:rsidRPr="00CC47EB">
              <w:rPr>
                <w:rFonts w:cs="Times New Roman"/>
                <w:sz w:val="26"/>
                <w:szCs w:val="26"/>
              </w:rPr>
              <w:t>Trešo personu mantai nodarīts bojājums vai bojāeja</w:t>
            </w:r>
          </w:p>
        </w:tc>
      </w:tr>
      <w:tr w:rsidR="00ED636E" w:rsidRPr="00CC47EB" w14:paraId="148082B7"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6368"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4FD0B36F" w14:textId="4CF26D0A" w:rsidR="00ED636E" w:rsidRPr="00CC47EB" w:rsidRDefault="00ED636E" w:rsidP="00CC47EB">
            <w:pPr>
              <w:rPr>
                <w:rFonts w:cs="Times New Roman"/>
                <w:sz w:val="26"/>
                <w:szCs w:val="26"/>
              </w:rPr>
            </w:pPr>
            <w:r w:rsidRPr="00CC47EB">
              <w:rPr>
                <w:rFonts w:cs="Times New Roman"/>
                <w:sz w:val="26"/>
                <w:szCs w:val="26"/>
              </w:rPr>
              <w:t>Apkārtējai videi nodarīts kaitējums</w:t>
            </w:r>
          </w:p>
        </w:tc>
      </w:tr>
      <w:tr w:rsidR="00ED636E" w:rsidRPr="00CC47EB" w14:paraId="40AC232F"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E745" w14:textId="77777777" w:rsidR="00ED636E" w:rsidRPr="00CC47EB" w:rsidRDefault="00ED636E" w:rsidP="00CC47EB">
            <w:pPr>
              <w:pStyle w:val="Sarakstarindkopa"/>
              <w:numPr>
                <w:ilvl w:val="1"/>
                <w:numId w:val="32"/>
              </w:numPr>
              <w:ind w:left="142" w:firstLine="0"/>
              <w:rPr>
                <w:rFonts w:eastAsia="Times New Roman" w:cs="Times New Roman"/>
                <w:b/>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27FA195F" w14:textId="3E46FC77" w:rsidR="00ED636E" w:rsidRPr="00CC47EB" w:rsidRDefault="00ED636E" w:rsidP="00CC47EB">
            <w:pPr>
              <w:rPr>
                <w:rFonts w:cs="Times New Roman"/>
                <w:sz w:val="26"/>
                <w:szCs w:val="26"/>
              </w:rPr>
            </w:pPr>
            <w:r w:rsidRPr="00CC47EB">
              <w:rPr>
                <w:rFonts w:cs="Times New Roman"/>
                <w:sz w:val="26"/>
                <w:szCs w:val="26"/>
              </w:rPr>
              <w:t>BGK un papildaprīkojuma apdrošinātie riski:</w:t>
            </w:r>
          </w:p>
        </w:tc>
      </w:tr>
      <w:tr w:rsidR="00ED636E" w:rsidRPr="00CC47EB" w14:paraId="5E89BB7F"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BBDFE"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3498A1F3" w14:textId="108581E7" w:rsidR="00ED636E" w:rsidRPr="00CC47EB" w:rsidRDefault="00ED636E" w:rsidP="00CC47EB">
            <w:pPr>
              <w:rPr>
                <w:rFonts w:cs="Times New Roman"/>
                <w:sz w:val="26"/>
                <w:szCs w:val="26"/>
              </w:rPr>
            </w:pPr>
            <w:r w:rsidRPr="00CC47EB">
              <w:rPr>
                <w:rFonts w:cs="Times New Roman"/>
                <w:sz w:val="26"/>
                <w:szCs w:val="26"/>
              </w:rPr>
              <w:t>Trešo personu prettiesiska rīcība – tīša/netīša īpašuma bojāšana vai iznīcināšana, ļaunprātīga dedzināšana, vandālisms, zādzība ar ielaušanos, laupīšana</w:t>
            </w:r>
            <w:r w:rsidR="006949BD" w:rsidRPr="00CC47EB">
              <w:rPr>
                <w:rFonts w:cs="Times New Roman"/>
                <w:sz w:val="26"/>
                <w:szCs w:val="26"/>
              </w:rPr>
              <w:t xml:space="preserve"> u.tml.</w:t>
            </w:r>
          </w:p>
        </w:tc>
      </w:tr>
      <w:tr w:rsidR="00ED636E" w:rsidRPr="00CC47EB" w14:paraId="5AAC464E"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770B0"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3F55D3D4" w14:textId="1AC72D16" w:rsidR="00ED636E" w:rsidRPr="00CC47EB" w:rsidRDefault="00ED636E" w:rsidP="00CC47EB">
            <w:pPr>
              <w:rPr>
                <w:rFonts w:cs="Times New Roman"/>
                <w:sz w:val="26"/>
                <w:szCs w:val="26"/>
              </w:rPr>
            </w:pPr>
            <w:r w:rsidRPr="00CC47EB">
              <w:rPr>
                <w:rFonts w:cs="Times New Roman"/>
                <w:sz w:val="26"/>
                <w:szCs w:val="26"/>
              </w:rPr>
              <w:t xml:space="preserve">Zaudējumi vai bojājumi, kas radušies </w:t>
            </w:r>
            <w:r w:rsidR="006949BD" w:rsidRPr="00CC47EB">
              <w:rPr>
                <w:rFonts w:cs="Times New Roman"/>
                <w:bCs/>
                <w:sz w:val="26"/>
                <w:szCs w:val="26"/>
              </w:rPr>
              <w:t>BGK</w:t>
            </w:r>
            <w:r w:rsidRPr="00CC47EB">
              <w:rPr>
                <w:rFonts w:cs="Times New Roman"/>
                <w:sz w:val="26"/>
                <w:szCs w:val="26"/>
              </w:rPr>
              <w:t xml:space="preserve"> pārvadājot ceļa satiksmē</w:t>
            </w:r>
          </w:p>
        </w:tc>
      </w:tr>
      <w:tr w:rsidR="00ED636E" w:rsidRPr="00CC47EB" w14:paraId="40099D08"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E7C6F"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3F5BCE64" w14:textId="66196D25" w:rsidR="00ED636E" w:rsidRPr="00CC47EB" w:rsidRDefault="00ED636E" w:rsidP="00CC47EB">
            <w:pPr>
              <w:rPr>
                <w:rFonts w:cs="Times New Roman"/>
                <w:sz w:val="26"/>
                <w:szCs w:val="26"/>
              </w:rPr>
            </w:pPr>
            <w:r w:rsidRPr="00CC47EB">
              <w:rPr>
                <w:rFonts w:cs="Times New Roman"/>
                <w:sz w:val="26"/>
                <w:szCs w:val="26"/>
              </w:rPr>
              <w:t>Zaudējumi, kas radušies pasūtītāja darbinieku vieglas neuzmanības dēļ</w:t>
            </w:r>
          </w:p>
        </w:tc>
      </w:tr>
      <w:tr w:rsidR="00ED636E" w:rsidRPr="00CC47EB" w14:paraId="1208854F"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A4B53"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5C465A71" w14:textId="1D257F09" w:rsidR="00ED636E" w:rsidRPr="00CC47EB" w:rsidRDefault="00ED636E" w:rsidP="00CC47EB">
            <w:pPr>
              <w:rPr>
                <w:rFonts w:cs="Times New Roman"/>
                <w:sz w:val="26"/>
                <w:szCs w:val="26"/>
              </w:rPr>
            </w:pPr>
            <w:r w:rsidRPr="00CC47EB">
              <w:rPr>
                <w:rFonts w:cs="Times New Roman"/>
                <w:sz w:val="26"/>
                <w:szCs w:val="26"/>
              </w:rPr>
              <w:t>BGK bojājumi un bojāeja</w:t>
            </w:r>
          </w:p>
        </w:tc>
      </w:tr>
      <w:tr w:rsidR="00ED636E" w:rsidRPr="00CC47EB" w14:paraId="2F4CD9FB"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A8EC3"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56C71A68" w14:textId="4DC4B3B6" w:rsidR="00ED636E" w:rsidRPr="00CC47EB" w:rsidRDefault="00ED636E" w:rsidP="00CC47EB">
            <w:pPr>
              <w:rPr>
                <w:rFonts w:cs="Times New Roman"/>
                <w:sz w:val="26"/>
                <w:szCs w:val="26"/>
              </w:rPr>
            </w:pPr>
            <w:r w:rsidRPr="00CC47EB">
              <w:rPr>
                <w:rFonts w:cs="Times New Roman"/>
                <w:sz w:val="26"/>
                <w:szCs w:val="26"/>
              </w:rPr>
              <w:t>BGK pazušanas bez vēsts</w:t>
            </w:r>
          </w:p>
        </w:tc>
      </w:tr>
      <w:tr w:rsidR="00ED636E" w:rsidRPr="00CC47EB" w14:paraId="629747CD" w14:textId="77777777" w:rsidTr="00CC47EB">
        <w:trPr>
          <w:gridAfter w:val="1"/>
          <w:wAfter w:w="4" w:type="pct"/>
          <w:trHeight w:val="234"/>
        </w:trPr>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F94D9" w14:textId="77777777" w:rsidR="00ED636E" w:rsidRPr="00CC47EB" w:rsidRDefault="00ED636E" w:rsidP="00CC47EB">
            <w:pPr>
              <w:pStyle w:val="Sarakstarindkopa"/>
              <w:numPr>
                <w:ilvl w:val="2"/>
                <w:numId w:val="32"/>
              </w:numPr>
              <w:ind w:hanging="578"/>
              <w:rPr>
                <w:rFonts w:eastAsia="Times New Roman" w:cs="Times New Roman"/>
                <w:bCs/>
                <w:sz w:val="26"/>
                <w:szCs w:val="26"/>
                <w:lang w:eastAsia="lv-LV"/>
              </w:rPr>
            </w:pPr>
          </w:p>
        </w:tc>
        <w:tc>
          <w:tcPr>
            <w:tcW w:w="4529" w:type="pct"/>
            <w:gridSpan w:val="2"/>
            <w:tcBorders>
              <w:top w:val="single" w:sz="4" w:space="0" w:color="auto"/>
              <w:left w:val="single" w:sz="4" w:space="0" w:color="auto"/>
              <w:bottom w:val="single" w:sz="4" w:space="0" w:color="auto"/>
            </w:tcBorders>
            <w:shd w:val="clear" w:color="auto" w:fill="FFFFFF" w:themeFill="background1"/>
          </w:tcPr>
          <w:p w14:paraId="67D7F322" w14:textId="3C2D3F70" w:rsidR="00ED636E" w:rsidRPr="00CC47EB" w:rsidRDefault="00ED636E" w:rsidP="00CC47EB">
            <w:pPr>
              <w:rPr>
                <w:rFonts w:cs="Times New Roman"/>
                <w:sz w:val="26"/>
                <w:szCs w:val="26"/>
              </w:rPr>
            </w:pPr>
            <w:r w:rsidRPr="00CC47EB">
              <w:rPr>
                <w:rFonts w:cs="Times New Roman"/>
                <w:sz w:val="26"/>
                <w:szCs w:val="26"/>
              </w:rPr>
              <w:t>Papildaprīkojuma (dokstacijas) bojājumi un bojāeja</w:t>
            </w:r>
          </w:p>
        </w:tc>
      </w:tr>
      <w:tr w:rsidR="00591BF5" w:rsidRPr="00CC47EB" w14:paraId="12962844" w14:textId="2B1AC7A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75F5" w14:textId="77777777" w:rsidR="00591BF5" w:rsidRPr="00CC47EB" w:rsidRDefault="00591BF5" w:rsidP="00CC47EB">
            <w:pPr>
              <w:pStyle w:val="Sarakstarindkopa"/>
              <w:numPr>
                <w:ilvl w:val="0"/>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D9D9D9" w:themeFill="background1" w:themeFillShade="D9"/>
          </w:tcPr>
          <w:p w14:paraId="3D6A2CDB" w14:textId="43C64C0D" w:rsidR="00591BF5" w:rsidRPr="00CC47EB" w:rsidRDefault="00591BF5" w:rsidP="00CC47EB">
            <w:pPr>
              <w:tabs>
                <w:tab w:val="left" w:pos="1049"/>
                <w:tab w:val="center" w:pos="4247"/>
              </w:tabs>
              <w:jc w:val="center"/>
              <w:rPr>
                <w:rFonts w:eastAsia="Times New Roman" w:cs="Times New Roman"/>
                <w:b/>
                <w:bCs/>
                <w:sz w:val="26"/>
                <w:szCs w:val="26"/>
                <w:lang w:eastAsia="lv-LV"/>
              </w:rPr>
            </w:pPr>
            <w:r w:rsidRPr="00CC47EB">
              <w:rPr>
                <w:rFonts w:eastAsia="Times New Roman" w:cs="Times New Roman"/>
                <w:b/>
                <w:bCs/>
                <w:sz w:val="26"/>
                <w:szCs w:val="26"/>
                <w:lang w:eastAsia="lv-LV"/>
              </w:rPr>
              <w:t>Apdrošināmie objekti un apdrošināšanas periods</w:t>
            </w:r>
          </w:p>
        </w:tc>
      </w:tr>
      <w:tr w:rsidR="006949BD" w:rsidRPr="00CC47EB" w14:paraId="6A978796" w14:textId="702CE099" w:rsidTr="00CC47EB">
        <w:trPr>
          <w:trHeight w:val="73"/>
        </w:trPr>
        <w:tc>
          <w:tcPr>
            <w:tcW w:w="467" w:type="pct"/>
            <w:tcBorders>
              <w:top w:val="single" w:sz="4" w:space="0" w:color="auto"/>
              <w:left w:val="single" w:sz="4" w:space="0" w:color="auto"/>
              <w:bottom w:val="single" w:sz="4" w:space="0" w:color="auto"/>
              <w:right w:val="single" w:sz="4" w:space="0" w:color="auto"/>
            </w:tcBorders>
            <w:vAlign w:val="center"/>
          </w:tcPr>
          <w:p w14:paraId="4BEDD0FE" w14:textId="7B4EB345" w:rsidR="006949BD" w:rsidRPr="00CC47EB" w:rsidRDefault="006949BD" w:rsidP="00CC47EB">
            <w:pPr>
              <w:pStyle w:val="Sarakstarindkopa"/>
              <w:numPr>
                <w:ilvl w:val="1"/>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tcPr>
          <w:p w14:paraId="04B14638" w14:textId="3CA8A925" w:rsidR="006949BD" w:rsidRPr="00CC47EB" w:rsidRDefault="006949BD" w:rsidP="00CC47EB">
            <w:pPr>
              <w:tabs>
                <w:tab w:val="left" w:pos="1108"/>
              </w:tabs>
              <w:ind w:left="135" w:right="83"/>
              <w:jc w:val="both"/>
              <w:rPr>
                <w:rFonts w:cs="Times New Roman"/>
                <w:sz w:val="26"/>
                <w:szCs w:val="26"/>
              </w:rPr>
            </w:pPr>
            <w:r w:rsidRPr="00CC47EB">
              <w:rPr>
                <w:rFonts w:cs="Times New Roman"/>
                <w:sz w:val="26"/>
                <w:szCs w:val="26"/>
              </w:rPr>
              <w:t>Sk.</w:t>
            </w:r>
            <w:r w:rsidR="00CC47EB">
              <w:rPr>
                <w:rFonts w:cs="Times New Roman"/>
                <w:sz w:val="26"/>
                <w:szCs w:val="26"/>
              </w:rPr>
              <w:t> </w:t>
            </w:r>
            <w:r w:rsidRPr="00CC47EB">
              <w:rPr>
                <w:rFonts w:cs="Times New Roman"/>
                <w:sz w:val="26"/>
                <w:szCs w:val="26"/>
              </w:rPr>
              <w:t>Pielikumu Nr.</w:t>
            </w:r>
            <w:r w:rsidR="00CC47EB">
              <w:rPr>
                <w:rFonts w:cs="Times New Roman"/>
                <w:sz w:val="26"/>
                <w:szCs w:val="26"/>
              </w:rPr>
              <w:t> 3 “Finanšu piedāvājums”.</w:t>
            </w:r>
          </w:p>
        </w:tc>
      </w:tr>
      <w:tr w:rsidR="006949BD" w:rsidRPr="00CC47EB" w14:paraId="50AC6619" w14:textId="77777777" w:rsidTr="00CC47EB">
        <w:trPr>
          <w:trHeight w:val="73"/>
        </w:trPr>
        <w:tc>
          <w:tcPr>
            <w:tcW w:w="467" w:type="pct"/>
            <w:tcBorders>
              <w:top w:val="single" w:sz="4" w:space="0" w:color="auto"/>
              <w:left w:val="single" w:sz="4" w:space="0" w:color="auto"/>
              <w:bottom w:val="single" w:sz="4" w:space="0" w:color="auto"/>
              <w:right w:val="single" w:sz="4" w:space="0" w:color="auto"/>
            </w:tcBorders>
            <w:vAlign w:val="center"/>
          </w:tcPr>
          <w:p w14:paraId="6C792BC2" w14:textId="77777777" w:rsidR="006949BD" w:rsidRPr="00CC47EB" w:rsidRDefault="006949BD" w:rsidP="00CC47EB">
            <w:pPr>
              <w:pStyle w:val="Sarakstarindkopa"/>
              <w:numPr>
                <w:ilvl w:val="1"/>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tcPr>
          <w:p w14:paraId="6AF4E970" w14:textId="4C57B998" w:rsidR="006949BD" w:rsidRPr="00CC47EB" w:rsidRDefault="006949BD" w:rsidP="00CC47EB">
            <w:pPr>
              <w:tabs>
                <w:tab w:val="left" w:pos="1108"/>
              </w:tabs>
              <w:ind w:left="135" w:right="83"/>
              <w:jc w:val="both"/>
              <w:rPr>
                <w:rFonts w:cs="Times New Roman"/>
                <w:sz w:val="26"/>
                <w:szCs w:val="26"/>
              </w:rPr>
            </w:pPr>
            <w:r w:rsidRPr="00CC47EB">
              <w:rPr>
                <w:rFonts w:cs="Times New Roman"/>
                <w:sz w:val="26"/>
                <w:szCs w:val="26"/>
              </w:rPr>
              <w:t>Polises/-</w:t>
            </w:r>
            <w:proofErr w:type="spellStart"/>
            <w:r w:rsidRPr="00CC47EB">
              <w:rPr>
                <w:rFonts w:cs="Times New Roman"/>
                <w:sz w:val="26"/>
                <w:szCs w:val="26"/>
              </w:rPr>
              <w:t>šu</w:t>
            </w:r>
            <w:proofErr w:type="spellEnd"/>
            <w:r w:rsidRPr="00CC47EB">
              <w:rPr>
                <w:rFonts w:cs="Times New Roman"/>
                <w:sz w:val="26"/>
                <w:szCs w:val="26"/>
              </w:rPr>
              <w:t xml:space="preserve"> ilgums 12 mēneši</w:t>
            </w:r>
            <w:r w:rsidR="002305A0" w:rsidRPr="00CC47EB">
              <w:rPr>
                <w:rFonts w:cs="Times New Roman"/>
                <w:sz w:val="26"/>
                <w:szCs w:val="26"/>
              </w:rPr>
              <w:t xml:space="preserve">, </w:t>
            </w:r>
            <w:r w:rsidR="002305A0" w:rsidRPr="00CC47EB">
              <w:rPr>
                <w:rFonts w:cs="Times New Roman"/>
                <w:i/>
                <w:iCs/>
                <w:sz w:val="26"/>
                <w:szCs w:val="26"/>
              </w:rPr>
              <w:t xml:space="preserve">bet ne ilgāk </w:t>
            </w:r>
            <w:r w:rsidR="00F83D11" w:rsidRPr="00CC47EB">
              <w:rPr>
                <w:rFonts w:cs="Times New Roman"/>
                <w:i/>
                <w:iCs/>
                <w:sz w:val="26"/>
                <w:szCs w:val="26"/>
              </w:rPr>
              <w:t>kā līdz līguma darbības termiņa beigām.</w:t>
            </w:r>
          </w:p>
        </w:tc>
      </w:tr>
      <w:tr w:rsidR="00591BF5" w:rsidRPr="00CC47EB" w14:paraId="4AE631B0" w14:textId="7777777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591BF5" w:rsidRPr="00CC47EB" w:rsidRDefault="00591BF5" w:rsidP="00CC47EB">
            <w:pPr>
              <w:pStyle w:val="Sarakstarindkopa"/>
              <w:numPr>
                <w:ilvl w:val="0"/>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D9D9D9" w:themeFill="background1" w:themeFillShade="D9"/>
          </w:tcPr>
          <w:p w14:paraId="009A7412" w14:textId="18EECCF5" w:rsidR="00591BF5" w:rsidRPr="00CC47EB" w:rsidRDefault="00FD4AE4" w:rsidP="00CC47EB">
            <w:pPr>
              <w:ind w:right="83"/>
              <w:jc w:val="center"/>
              <w:rPr>
                <w:rFonts w:cs="Times New Roman"/>
                <w:b/>
                <w:iCs/>
                <w:sz w:val="26"/>
                <w:szCs w:val="26"/>
              </w:rPr>
            </w:pPr>
            <w:r w:rsidRPr="00CC47EB">
              <w:rPr>
                <w:rFonts w:cs="Times New Roman"/>
                <w:b/>
                <w:iCs/>
                <w:sz w:val="26"/>
                <w:szCs w:val="26"/>
              </w:rPr>
              <w:t>Pašrisks</w:t>
            </w:r>
            <w:r w:rsidR="00D85F63" w:rsidRPr="00CC47EB" w:rsidDel="003548B5">
              <w:rPr>
                <w:rFonts w:cs="Times New Roman"/>
                <w:b/>
                <w:iCs/>
                <w:sz w:val="26"/>
                <w:szCs w:val="26"/>
              </w:rPr>
              <w:t xml:space="preserve"> </w:t>
            </w:r>
          </w:p>
        </w:tc>
      </w:tr>
      <w:tr w:rsidR="00C1101B" w:rsidRPr="00CC47EB" w14:paraId="412E8DA3" w14:textId="77777777" w:rsidTr="00CC47EB">
        <w:trPr>
          <w:trHeight w:val="310"/>
        </w:trPr>
        <w:tc>
          <w:tcPr>
            <w:tcW w:w="467" w:type="pct"/>
            <w:tcBorders>
              <w:top w:val="single" w:sz="4" w:space="0" w:color="auto"/>
            </w:tcBorders>
            <w:vAlign w:val="center"/>
          </w:tcPr>
          <w:p w14:paraId="57F2F477" w14:textId="77777777" w:rsidR="00C1101B" w:rsidRPr="00CC47EB" w:rsidRDefault="00C1101B" w:rsidP="00CC47EB">
            <w:pPr>
              <w:pStyle w:val="Sarakstarindkopa"/>
              <w:numPr>
                <w:ilvl w:val="1"/>
                <w:numId w:val="32"/>
              </w:numPr>
              <w:ind w:hanging="578"/>
              <w:rPr>
                <w:rFonts w:eastAsia="Times New Roman" w:cs="Times New Roman"/>
                <w:b/>
                <w:sz w:val="26"/>
                <w:szCs w:val="26"/>
                <w:lang w:eastAsia="lv-LV"/>
              </w:rPr>
            </w:pPr>
          </w:p>
        </w:tc>
        <w:tc>
          <w:tcPr>
            <w:tcW w:w="3127" w:type="pct"/>
            <w:tcBorders>
              <w:top w:val="single" w:sz="4" w:space="0" w:color="auto"/>
            </w:tcBorders>
          </w:tcPr>
          <w:p w14:paraId="4416DEE6" w14:textId="7EA7D20D" w:rsidR="00C1101B" w:rsidRPr="00CC47EB" w:rsidRDefault="003610F1" w:rsidP="00CC47EB">
            <w:pPr>
              <w:tabs>
                <w:tab w:val="left" w:pos="1108"/>
              </w:tabs>
              <w:ind w:left="135" w:right="83"/>
              <w:jc w:val="both"/>
              <w:rPr>
                <w:rFonts w:cs="Times New Roman"/>
                <w:sz w:val="26"/>
                <w:szCs w:val="26"/>
              </w:rPr>
            </w:pPr>
            <w:r w:rsidRPr="00CC47EB">
              <w:rPr>
                <w:rFonts w:cs="Times New Roman"/>
                <w:sz w:val="26"/>
                <w:szCs w:val="26"/>
              </w:rPr>
              <w:t>Apdrošinājuma summas p</w:t>
            </w:r>
            <w:r w:rsidR="00C1101B" w:rsidRPr="00CC47EB">
              <w:rPr>
                <w:rFonts w:cs="Times New Roman"/>
                <w:sz w:val="26"/>
                <w:szCs w:val="26"/>
              </w:rPr>
              <w:t>ašrisks:</w:t>
            </w:r>
          </w:p>
          <w:p w14:paraId="02340307" w14:textId="083E66B2" w:rsidR="00C1101B" w:rsidRPr="00CC47EB" w:rsidRDefault="007D79BC" w:rsidP="00CC47EB">
            <w:pPr>
              <w:pStyle w:val="Sarakstarindkopa"/>
              <w:numPr>
                <w:ilvl w:val="2"/>
                <w:numId w:val="32"/>
              </w:numPr>
              <w:tabs>
                <w:tab w:val="left" w:pos="1108"/>
              </w:tabs>
              <w:ind w:left="489" w:right="83"/>
              <w:jc w:val="both"/>
              <w:rPr>
                <w:rFonts w:cs="Times New Roman"/>
                <w:sz w:val="26"/>
                <w:szCs w:val="26"/>
              </w:rPr>
            </w:pPr>
            <w:r w:rsidRPr="00CC47EB">
              <w:rPr>
                <w:rFonts w:cs="Times New Roman"/>
                <w:sz w:val="26"/>
                <w:szCs w:val="26"/>
              </w:rPr>
              <w:t>b</w:t>
            </w:r>
            <w:r w:rsidR="00C1101B" w:rsidRPr="00CC47EB">
              <w:rPr>
                <w:rFonts w:cs="Times New Roman"/>
                <w:sz w:val="26"/>
                <w:szCs w:val="26"/>
              </w:rPr>
              <w:t>ojājumiem EUR 0,00;</w:t>
            </w:r>
          </w:p>
          <w:p w14:paraId="1E995FA9" w14:textId="0BA7ECC9" w:rsidR="00C1101B" w:rsidRPr="00CC47EB" w:rsidRDefault="007D79BC" w:rsidP="00CC47EB">
            <w:pPr>
              <w:pStyle w:val="Sarakstarindkopa"/>
              <w:numPr>
                <w:ilvl w:val="2"/>
                <w:numId w:val="32"/>
              </w:numPr>
              <w:tabs>
                <w:tab w:val="left" w:pos="1108"/>
              </w:tabs>
              <w:ind w:left="489" w:right="83"/>
              <w:jc w:val="both"/>
              <w:rPr>
                <w:rFonts w:cs="Times New Roman"/>
                <w:sz w:val="26"/>
                <w:szCs w:val="26"/>
              </w:rPr>
            </w:pPr>
            <w:r w:rsidRPr="00CC47EB">
              <w:rPr>
                <w:rFonts w:cs="Times New Roman"/>
                <w:sz w:val="26"/>
                <w:szCs w:val="26"/>
              </w:rPr>
              <w:t>p</w:t>
            </w:r>
            <w:r w:rsidR="00C1101B" w:rsidRPr="00CC47EB">
              <w:rPr>
                <w:rFonts w:cs="Times New Roman"/>
                <w:sz w:val="26"/>
                <w:szCs w:val="26"/>
              </w:rPr>
              <w:t>ilnīgas bojāejas gadījumā ne lielāks par 5% no apdrošinājuma summas.</w:t>
            </w:r>
          </w:p>
        </w:tc>
        <w:tc>
          <w:tcPr>
            <w:tcW w:w="1405" w:type="pct"/>
            <w:gridSpan w:val="2"/>
          </w:tcPr>
          <w:p w14:paraId="7CF7957B" w14:textId="648BE08B" w:rsidR="00C1101B" w:rsidRPr="00CC47EB" w:rsidRDefault="00CC47EB" w:rsidP="00CC47EB">
            <w:pPr>
              <w:ind w:left="148" w:right="126"/>
              <w:jc w:val="center"/>
              <w:rPr>
                <w:rFonts w:eastAsia="Times New Roman" w:cs="Times New Roman"/>
                <w:i/>
                <w:iCs/>
                <w:sz w:val="26"/>
                <w:szCs w:val="26"/>
                <w:lang w:eastAsia="lv-LV"/>
              </w:rPr>
            </w:pPr>
            <w:r w:rsidRPr="007324C4">
              <w:rPr>
                <w:rFonts w:eastAsia="Times New Roman" w:cs="Times New Roman"/>
                <w:i/>
                <w:iCs/>
                <w:sz w:val="26"/>
                <w:szCs w:val="26"/>
                <w:lang w:eastAsia="lv-LV"/>
              </w:rPr>
              <w:t>Aizpilda pretendents</w:t>
            </w:r>
          </w:p>
        </w:tc>
      </w:tr>
      <w:tr w:rsidR="003548B5" w:rsidRPr="00CC47EB" w14:paraId="55BB4C9A" w14:textId="7777777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548B5" w:rsidRPr="00CC47EB" w:rsidRDefault="003548B5" w:rsidP="00CC47EB">
            <w:pPr>
              <w:pStyle w:val="Sarakstarindkopa"/>
              <w:numPr>
                <w:ilvl w:val="0"/>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D9D9D9" w:themeFill="background1" w:themeFillShade="D9"/>
          </w:tcPr>
          <w:p w14:paraId="5C62CF65" w14:textId="525C77D6" w:rsidR="003548B5" w:rsidRPr="00CC47EB" w:rsidRDefault="003548B5" w:rsidP="00CC47EB">
            <w:pPr>
              <w:ind w:right="83"/>
              <w:jc w:val="center"/>
              <w:rPr>
                <w:rFonts w:cs="Times New Roman"/>
                <w:b/>
                <w:iCs/>
                <w:sz w:val="26"/>
                <w:szCs w:val="26"/>
              </w:rPr>
            </w:pPr>
            <w:r w:rsidRPr="00CC47EB">
              <w:rPr>
                <w:rFonts w:cs="Times New Roman"/>
                <w:b/>
                <w:iCs/>
                <w:sz w:val="26"/>
                <w:szCs w:val="26"/>
              </w:rPr>
              <w:t>Apdrošināšanas summa</w:t>
            </w:r>
            <w:r w:rsidRPr="00CC47EB" w:rsidDel="00764C45">
              <w:rPr>
                <w:rFonts w:cs="Times New Roman"/>
                <w:b/>
                <w:i/>
                <w:sz w:val="26"/>
                <w:szCs w:val="26"/>
              </w:rPr>
              <w:t xml:space="preserve"> </w:t>
            </w:r>
            <w:r w:rsidR="00CF2D3A" w:rsidRPr="00CC47EB">
              <w:rPr>
                <w:rFonts w:cs="Times New Roman"/>
                <w:b/>
                <w:iCs/>
                <w:sz w:val="26"/>
                <w:szCs w:val="26"/>
              </w:rPr>
              <w:t>un limiti</w:t>
            </w:r>
            <w:r w:rsidR="00CC47EB">
              <w:rPr>
                <w:rFonts w:cs="Times New Roman"/>
                <w:b/>
                <w:iCs/>
                <w:sz w:val="26"/>
                <w:szCs w:val="26"/>
              </w:rPr>
              <w:t xml:space="preserve"> </w:t>
            </w:r>
          </w:p>
        </w:tc>
      </w:tr>
      <w:tr w:rsidR="00CF2D3A" w:rsidRPr="00CC47EB" w14:paraId="3B2E7C79" w14:textId="03899A20"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388D52F" w14:textId="77777777" w:rsidR="00CF2D3A" w:rsidRPr="00CC47EB" w:rsidRDefault="00CF2D3A" w:rsidP="00CC47EB">
            <w:pPr>
              <w:pStyle w:val="Sarakstarindkopa"/>
              <w:numPr>
                <w:ilvl w:val="1"/>
                <w:numId w:val="32"/>
              </w:numPr>
              <w:ind w:hanging="578"/>
              <w:rPr>
                <w:rFonts w:eastAsia="Times New Roman" w:cs="Times New Roman"/>
                <w:b/>
                <w:sz w:val="26"/>
                <w:szCs w:val="26"/>
                <w:lang w:eastAsia="lv-LV"/>
              </w:rPr>
            </w:pPr>
          </w:p>
        </w:tc>
        <w:tc>
          <w:tcPr>
            <w:tcW w:w="4533" w:type="pct"/>
            <w:gridSpan w:val="3"/>
            <w:tcBorders>
              <w:top w:val="single" w:sz="4" w:space="0" w:color="auto"/>
              <w:left w:val="single" w:sz="4" w:space="0" w:color="auto"/>
              <w:bottom w:val="single" w:sz="4" w:space="0" w:color="auto"/>
            </w:tcBorders>
            <w:shd w:val="clear" w:color="auto" w:fill="auto"/>
          </w:tcPr>
          <w:p w14:paraId="50EA6303" w14:textId="1E46F415" w:rsidR="00CF2D3A" w:rsidRPr="00CC47EB" w:rsidDel="00764C45" w:rsidRDefault="00CF2D3A" w:rsidP="00CC47EB">
            <w:pPr>
              <w:jc w:val="both"/>
              <w:rPr>
                <w:rFonts w:cs="Times New Roman"/>
                <w:b/>
                <w:i/>
                <w:sz w:val="26"/>
                <w:szCs w:val="26"/>
              </w:rPr>
            </w:pPr>
            <w:r w:rsidRPr="00CC47EB">
              <w:rPr>
                <w:rFonts w:cs="Times New Roman"/>
                <w:sz w:val="26"/>
                <w:szCs w:val="26"/>
              </w:rPr>
              <w:t xml:space="preserve">Pasūtītājs nosaka, ka apdrošinājuma summa ir vienāda ar apdrošinātā objekta iegādes vērtību, kas pretendentam ir jāievēro. Iestājoties apdrošināšanas gadījumam, netiek piemērots </w:t>
            </w:r>
            <w:proofErr w:type="spellStart"/>
            <w:r w:rsidRPr="00CC47EB">
              <w:rPr>
                <w:rFonts w:cs="Times New Roman"/>
                <w:sz w:val="26"/>
                <w:szCs w:val="26"/>
              </w:rPr>
              <w:t>zemapdrošināšanas</w:t>
            </w:r>
            <w:proofErr w:type="spellEnd"/>
            <w:r w:rsidRPr="00CC47EB">
              <w:rPr>
                <w:rFonts w:cs="Times New Roman"/>
                <w:sz w:val="26"/>
                <w:szCs w:val="26"/>
              </w:rPr>
              <w:t xml:space="preserve"> princips un nolietojums.</w:t>
            </w:r>
          </w:p>
        </w:tc>
      </w:tr>
      <w:tr w:rsidR="00542E13" w:rsidRPr="00CC47EB" w14:paraId="1A8B44E0" w14:textId="77777777" w:rsidTr="00CC47EB">
        <w:trPr>
          <w:trHeight w:val="23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6295BE1" w14:textId="77777777" w:rsidR="00542E13" w:rsidRPr="00CC47EB" w:rsidRDefault="00542E13" w:rsidP="00CC47EB">
            <w:pPr>
              <w:pStyle w:val="Sarakstarindkopa"/>
              <w:numPr>
                <w:ilvl w:val="1"/>
                <w:numId w:val="32"/>
              </w:numPr>
              <w:ind w:hanging="578"/>
              <w:rPr>
                <w:rFonts w:eastAsia="Times New Roman" w:cs="Times New Roman"/>
                <w:b/>
                <w:sz w:val="26"/>
                <w:szCs w:val="26"/>
                <w:lang w:eastAsia="lv-LV"/>
              </w:rPr>
            </w:pPr>
          </w:p>
        </w:tc>
        <w:tc>
          <w:tcPr>
            <w:tcW w:w="3127" w:type="pct"/>
            <w:tcBorders>
              <w:top w:val="single" w:sz="4" w:space="0" w:color="auto"/>
              <w:left w:val="single" w:sz="4" w:space="0" w:color="auto"/>
              <w:bottom w:val="single" w:sz="4" w:space="0" w:color="auto"/>
            </w:tcBorders>
            <w:shd w:val="clear" w:color="auto" w:fill="auto"/>
          </w:tcPr>
          <w:p w14:paraId="43921280" w14:textId="01E7BA24" w:rsidR="00542E13" w:rsidRPr="00CC47EB" w:rsidRDefault="00542E13" w:rsidP="00CC47EB">
            <w:pPr>
              <w:ind w:right="312"/>
              <w:jc w:val="both"/>
              <w:rPr>
                <w:rFonts w:cs="Times New Roman"/>
                <w:sz w:val="26"/>
                <w:szCs w:val="26"/>
              </w:rPr>
            </w:pPr>
            <w:r w:rsidRPr="00CC47EB">
              <w:rPr>
                <w:rFonts w:cs="Times New Roman"/>
                <w:sz w:val="26"/>
                <w:szCs w:val="26"/>
              </w:rPr>
              <w:t xml:space="preserve">Civiltiesiskās atbildības apdrošināšanas limits ne mazāk par </w:t>
            </w:r>
            <w:r w:rsidRPr="00CC47EB">
              <w:rPr>
                <w:rFonts w:cs="Times New Roman"/>
                <w:b/>
                <w:bCs/>
                <w:sz w:val="26"/>
                <w:szCs w:val="26"/>
              </w:rPr>
              <w:t>750 000 SDR</w:t>
            </w:r>
            <w:r w:rsidRPr="00CC47EB">
              <w:rPr>
                <w:rStyle w:val="Vresatsauce"/>
                <w:rFonts w:cs="Times New Roman"/>
                <w:sz w:val="26"/>
                <w:szCs w:val="26"/>
              </w:rPr>
              <w:footnoteReference w:id="2"/>
            </w:r>
            <w:r w:rsidRPr="00CC47EB">
              <w:rPr>
                <w:rFonts w:cs="Times New Roman"/>
                <w:sz w:val="26"/>
                <w:szCs w:val="26"/>
              </w:rPr>
              <w:t xml:space="preserve"> (Starptautiskā valūtas fonda </w:t>
            </w:r>
            <w:proofErr w:type="spellStart"/>
            <w:r w:rsidRPr="00CC47EB">
              <w:rPr>
                <w:rFonts w:cs="Times New Roman"/>
                <w:sz w:val="26"/>
                <w:szCs w:val="26"/>
              </w:rPr>
              <w:t>norēķinvienība</w:t>
            </w:r>
            <w:proofErr w:type="spellEnd"/>
            <w:r w:rsidRPr="00CC47EB">
              <w:rPr>
                <w:rFonts w:cs="Times New Roman"/>
                <w:sz w:val="26"/>
                <w:szCs w:val="26"/>
              </w:rPr>
              <w:t>) katram gadījumam</w:t>
            </w:r>
            <w:r w:rsidR="00A62022" w:rsidRPr="00CC47EB">
              <w:rPr>
                <w:rFonts w:cs="Times New Roman"/>
                <w:sz w:val="26"/>
                <w:szCs w:val="26"/>
              </w:rPr>
              <w:t>.</w:t>
            </w:r>
          </w:p>
        </w:tc>
        <w:tc>
          <w:tcPr>
            <w:tcW w:w="1405" w:type="pct"/>
            <w:gridSpan w:val="2"/>
            <w:tcBorders>
              <w:top w:val="single" w:sz="4" w:space="0" w:color="auto"/>
              <w:left w:val="single" w:sz="4" w:space="0" w:color="auto"/>
              <w:bottom w:val="single" w:sz="4" w:space="0" w:color="auto"/>
            </w:tcBorders>
            <w:shd w:val="clear" w:color="auto" w:fill="auto"/>
          </w:tcPr>
          <w:p w14:paraId="2BB6B004" w14:textId="2E96D34C" w:rsidR="00542E13" w:rsidRPr="00CC47EB" w:rsidRDefault="00CC47EB" w:rsidP="00CC47EB">
            <w:pPr>
              <w:jc w:val="center"/>
              <w:rPr>
                <w:rFonts w:cs="Times New Roman"/>
                <w:i/>
                <w:iCs/>
                <w:sz w:val="26"/>
                <w:szCs w:val="26"/>
              </w:rPr>
            </w:pPr>
            <w:r w:rsidRPr="007324C4">
              <w:rPr>
                <w:rFonts w:cs="Times New Roman"/>
                <w:i/>
                <w:iCs/>
                <w:sz w:val="26"/>
                <w:szCs w:val="26"/>
              </w:rPr>
              <w:t>Aizpilda pretendents</w:t>
            </w:r>
          </w:p>
        </w:tc>
      </w:tr>
      <w:tr w:rsidR="00837924" w:rsidRPr="00CC47EB" w14:paraId="2522867D" w14:textId="77777777" w:rsidTr="00CC47EB">
        <w:trPr>
          <w:trHeight w:val="196"/>
        </w:trPr>
        <w:tc>
          <w:tcPr>
            <w:tcW w:w="467" w:type="pct"/>
            <w:shd w:val="clear" w:color="auto" w:fill="D9D9D9" w:themeFill="background1" w:themeFillShade="D9"/>
          </w:tcPr>
          <w:p w14:paraId="786B798B" w14:textId="77777777" w:rsidR="00837924" w:rsidRPr="00CC47EB" w:rsidRDefault="00837924" w:rsidP="00CC47EB">
            <w:pPr>
              <w:pStyle w:val="Sarakstarindkopa"/>
              <w:numPr>
                <w:ilvl w:val="0"/>
                <w:numId w:val="32"/>
              </w:numPr>
              <w:ind w:hanging="578"/>
              <w:rPr>
                <w:rFonts w:eastAsia="Times New Roman" w:cs="Times New Roman"/>
                <w:b/>
                <w:sz w:val="26"/>
                <w:szCs w:val="26"/>
                <w:lang w:eastAsia="lv-LV"/>
              </w:rPr>
            </w:pPr>
          </w:p>
        </w:tc>
        <w:tc>
          <w:tcPr>
            <w:tcW w:w="4533" w:type="pct"/>
            <w:gridSpan w:val="3"/>
            <w:shd w:val="clear" w:color="auto" w:fill="D9D9D9" w:themeFill="background1" w:themeFillShade="D9"/>
          </w:tcPr>
          <w:p w14:paraId="4E22B910" w14:textId="0EB3293C" w:rsidR="00837924" w:rsidRPr="00CC47EB" w:rsidRDefault="00837924" w:rsidP="00CC47EB">
            <w:pPr>
              <w:jc w:val="center"/>
              <w:rPr>
                <w:rFonts w:eastAsia="Times New Roman" w:cs="Times New Roman"/>
                <w:b/>
                <w:sz w:val="26"/>
                <w:szCs w:val="26"/>
                <w:lang w:eastAsia="lv-LV"/>
              </w:rPr>
            </w:pPr>
            <w:r w:rsidRPr="00CC47EB">
              <w:rPr>
                <w:rFonts w:eastAsia="Times New Roman" w:cs="Times New Roman"/>
                <w:b/>
                <w:bCs/>
                <w:sz w:val="26"/>
                <w:szCs w:val="26"/>
                <w:lang w:eastAsia="lv-LV"/>
              </w:rPr>
              <w:t>Pretendenta atbilstība</w:t>
            </w:r>
            <w:r w:rsidRPr="00CC47EB">
              <w:rPr>
                <w:rFonts w:eastAsia="Times New Roman" w:cs="Times New Roman"/>
                <w:sz w:val="26"/>
                <w:szCs w:val="26"/>
              </w:rPr>
              <w:t xml:space="preserve"> </w:t>
            </w:r>
            <w:r w:rsidRPr="00CC47EB">
              <w:rPr>
                <w:rFonts w:eastAsia="Times New Roman" w:cs="Times New Roman"/>
                <w:b/>
                <w:bCs/>
                <w:sz w:val="26"/>
                <w:szCs w:val="26"/>
                <w:lang w:eastAsia="lv-LV"/>
              </w:rPr>
              <w:t>profesionālās darbības veikšanai</w:t>
            </w:r>
          </w:p>
        </w:tc>
      </w:tr>
      <w:tr w:rsidR="00193D41" w:rsidRPr="00CC47EB" w14:paraId="084CF5DD" w14:textId="124B9C62" w:rsidTr="00CC47EB">
        <w:trPr>
          <w:trHeight w:val="310"/>
        </w:trPr>
        <w:tc>
          <w:tcPr>
            <w:tcW w:w="467" w:type="pct"/>
            <w:tcBorders>
              <w:top w:val="single" w:sz="4" w:space="0" w:color="auto"/>
            </w:tcBorders>
            <w:vAlign w:val="center"/>
          </w:tcPr>
          <w:p w14:paraId="388E1D90" w14:textId="77777777" w:rsidR="00193D41" w:rsidRPr="00CC47EB" w:rsidRDefault="00193D41" w:rsidP="00CC47EB">
            <w:pPr>
              <w:pStyle w:val="Sarakstarindkopa"/>
              <w:numPr>
                <w:ilvl w:val="1"/>
                <w:numId w:val="32"/>
              </w:numPr>
              <w:ind w:hanging="578"/>
              <w:rPr>
                <w:rFonts w:eastAsia="Times New Roman" w:cs="Times New Roman"/>
                <w:b/>
                <w:sz w:val="26"/>
                <w:szCs w:val="26"/>
                <w:lang w:eastAsia="lv-LV"/>
              </w:rPr>
            </w:pPr>
          </w:p>
        </w:tc>
        <w:tc>
          <w:tcPr>
            <w:tcW w:w="3127" w:type="pct"/>
            <w:tcBorders>
              <w:top w:val="single" w:sz="4" w:space="0" w:color="auto"/>
            </w:tcBorders>
          </w:tcPr>
          <w:p w14:paraId="1EAD644F" w14:textId="77777777" w:rsidR="00193D41" w:rsidRPr="007324C4" w:rsidRDefault="00193D41" w:rsidP="00CC47EB">
            <w:pPr>
              <w:tabs>
                <w:tab w:val="left" w:pos="1134"/>
              </w:tabs>
              <w:ind w:left="141" w:right="224"/>
              <w:jc w:val="both"/>
              <w:rPr>
                <w:rFonts w:eastAsia="Times New Roman" w:cs="Times New Roman"/>
                <w:caps/>
                <w:sz w:val="26"/>
                <w:szCs w:val="26"/>
                <w:u w:val="single"/>
                <w:lang w:eastAsia="lv-LV"/>
              </w:rPr>
            </w:pPr>
            <w:r w:rsidRPr="00CC47EB">
              <w:rPr>
                <w:rFonts w:cs="Times New Roman"/>
                <w:color w:val="000000"/>
                <w:sz w:val="26"/>
                <w:szCs w:val="26"/>
              </w:rPr>
              <w:t xml:space="preserve">Pretendentam ir jābūt tiesīgam sniegt civiltiesiskās apdrošināšanas pakalpojumus, kā arī gaisa kuģu apdrošināšanu. </w:t>
            </w:r>
            <w:r w:rsidRPr="007324C4">
              <w:rPr>
                <w:rFonts w:cs="Times New Roman"/>
                <w:color w:val="000000"/>
                <w:sz w:val="26"/>
                <w:szCs w:val="26"/>
                <w:u w:val="single"/>
              </w:rPr>
              <w:t xml:space="preserve">Pretendentam kopā ar piedāvājumu jāiesniedz: </w:t>
            </w:r>
          </w:p>
          <w:p w14:paraId="05938B20" w14:textId="1CDE6DCC" w:rsidR="00193D41" w:rsidRPr="00CC47EB" w:rsidRDefault="00193D41" w:rsidP="00CC47EB">
            <w:pPr>
              <w:ind w:left="148" w:right="126"/>
              <w:jc w:val="both"/>
              <w:rPr>
                <w:rFonts w:eastAsia="Times New Roman" w:cs="Times New Roman"/>
                <w:sz w:val="26"/>
                <w:szCs w:val="26"/>
                <w:lang w:eastAsia="lv-LV"/>
              </w:rPr>
            </w:pPr>
            <w:r w:rsidRPr="007324C4">
              <w:rPr>
                <w:rFonts w:cs="Times New Roman"/>
                <w:color w:val="000000"/>
                <w:sz w:val="26"/>
                <w:szCs w:val="26"/>
                <w:u w:val="single"/>
              </w:rPr>
              <w:t>Latvijas Bankas izsniegtas spēkā esošas licences kopiju, kas apliecina pretendenta tiesības veikt civiltiesiskās atbildības apdrošināšanu un gaisakuģu apdrošināšanu vai norāda publiski pieejamu informāciju, kur pasūtītājs bez papildu samaksas varētu pārliecināties par pretendentam izsniegtajām licencēm</w:t>
            </w:r>
            <w:r w:rsidR="000D094F" w:rsidRPr="007324C4">
              <w:rPr>
                <w:rFonts w:cs="Times New Roman"/>
                <w:color w:val="000000"/>
                <w:sz w:val="26"/>
                <w:szCs w:val="26"/>
                <w:u w:val="single"/>
              </w:rPr>
              <w:t>.</w:t>
            </w:r>
          </w:p>
        </w:tc>
        <w:tc>
          <w:tcPr>
            <w:tcW w:w="1405" w:type="pct"/>
            <w:gridSpan w:val="2"/>
            <w:tcBorders>
              <w:top w:val="single" w:sz="4" w:space="0" w:color="auto"/>
            </w:tcBorders>
          </w:tcPr>
          <w:p w14:paraId="79BB0C4D" w14:textId="30704476" w:rsidR="00193D41" w:rsidRPr="00CC47EB" w:rsidRDefault="00CC47EB" w:rsidP="00CC47EB">
            <w:pPr>
              <w:ind w:right="126"/>
              <w:jc w:val="center"/>
              <w:rPr>
                <w:rFonts w:eastAsia="Times New Roman" w:cs="Times New Roman"/>
                <w:i/>
                <w:iCs/>
                <w:sz w:val="26"/>
                <w:szCs w:val="26"/>
                <w:lang w:eastAsia="lv-LV"/>
              </w:rPr>
            </w:pPr>
            <w:r w:rsidRPr="007324C4">
              <w:rPr>
                <w:rFonts w:eastAsia="Times New Roman" w:cs="Times New Roman"/>
                <w:i/>
                <w:iCs/>
                <w:sz w:val="26"/>
                <w:szCs w:val="26"/>
                <w:lang w:eastAsia="lv-LV"/>
              </w:rPr>
              <w:t>Aizpilda pretendents</w:t>
            </w:r>
          </w:p>
        </w:tc>
      </w:tr>
    </w:tbl>
    <w:p w14:paraId="0B898B8C" w14:textId="77777777" w:rsidR="00CF596C" w:rsidRDefault="00CF596C" w:rsidP="00CF596C">
      <w:pPr>
        <w:ind w:left="66"/>
        <w:contextualSpacing/>
        <w:jc w:val="center"/>
        <w:rPr>
          <w:rFonts w:eastAsia="Times New Roman" w:cs="Times New Roman"/>
          <w:b/>
          <w:caps/>
          <w:sz w:val="28"/>
          <w:szCs w:val="28"/>
          <w:lang w:eastAsia="lv-LV"/>
        </w:rPr>
      </w:pPr>
    </w:p>
    <w:p w14:paraId="47109A75" w14:textId="1871108D" w:rsidR="008D4751" w:rsidRDefault="006A176E" w:rsidP="00334E98">
      <w:pPr>
        <w:tabs>
          <w:tab w:val="left" w:pos="1276"/>
        </w:tabs>
        <w:jc w:val="both"/>
        <w:rPr>
          <w:rFonts w:eastAsia="Times New Roman" w:cs="Times New Roman"/>
          <w:sz w:val="26"/>
          <w:szCs w:val="26"/>
          <w:lang w:eastAsia="lv-LV"/>
        </w:rPr>
      </w:pPr>
      <w:bookmarkStart w:id="1" w:name="_Hlk142462671"/>
      <w:r w:rsidRPr="003C2A2B">
        <w:rPr>
          <w:rFonts w:cs="Times New Roman"/>
          <w:szCs w:val="24"/>
          <w:shd w:val="clear" w:color="auto" w:fill="FFFFFF"/>
        </w:rPr>
        <w:t xml:space="preserve"> </w:t>
      </w:r>
      <w:bookmarkEnd w:id="1"/>
    </w:p>
    <w:p w14:paraId="763FFE6F" w14:textId="77777777" w:rsidR="00334E98" w:rsidRPr="00925BC2" w:rsidRDefault="00334E98" w:rsidP="00334E98">
      <w:pPr>
        <w:ind w:left="-567"/>
        <w:rPr>
          <w:rFonts w:cs="Times New Roman"/>
          <w:b/>
          <w:bCs/>
          <w:sz w:val="26"/>
          <w:szCs w:val="26"/>
        </w:rPr>
      </w:pPr>
      <w:r w:rsidRPr="00925BC2">
        <w:rPr>
          <w:rFonts w:cs="Times New Roman"/>
          <w:b/>
          <w:bCs/>
          <w:sz w:val="26"/>
          <w:szCs w:val="26"/>
        </w:rPr>
        <w:t>Nodrošinu visas iepirkumā izvirzītas prasības:</w:t>
      </w:r>
    </w:p>
    <w:p w14:paraId="1010E263" w14:textId="77777777" w:rsidR="00334E98" w:rsidRPr="00925BC2" w:rsidRDefault="00334E98" w:rsidP="00334E98">
      <w:pPr>
        <w:tabs>
          <w:tab w:val="left" w:pos="1268"/>
        </w:tabs>
        <w:ind w:left="-567"/>
        <w:rPr>
          <w:rFonts w:cs="Times New Roman"/>
          <w:szCs w:val="24"/>
        </w:rPr>
      </w:pPr>
      <w:r w:rsidRPr="00925BC2">
        <w:rPr>
          <w:rFonts w:cs="Times New Roman"/>
          <w:szCs w:val="24"/>
        </w:rPr>
        <w:t>_____________________________________________________________________________</w:t>
      </w:r>
    </w:p>
    <w:p w14:paraId="72C99F64" w14:textId="77777777" w:rsidR="00334E98" w:rsidRPr="00F52EBB" w:rsidRDefault="00334E98" w:rsidP="00334E98">
      <w:pPr>
        <w:ind w:left="-567"/>
        <w:rPr>
          <w:rFonts w:cs="Times New Roman"/>
          <w:i/>
          <w:iCs/>
          <w:szCs w:val="24"/>
        </w:rPr>
      </w:pPr>
      <w:r w:rsidRPr="00F52EBB">
        <w:rPr>
          <w:rFonts w:cs="Times New Roman"/>
          <w:i/>
          <w:iCs/>
          <w:szCs w:val="24"/>
        </w:rPr>
        <w:t>(Pretendenta nosaukums, vadītāja vai pilnvarotās personas amats, vārds, uzvārds un paraksts)</w:t>
      </w:r>
    </w:p>
    <w:p w14:paraId="24249385" w14:textId="77777777" w:rsidR="00A77531" w:rsidRPr="005C0D7A" w:rsidRDefault="00A77531" w:rsidP="00A77531">
      <w:pPr>
        <w:widowControl w:val="0"/>
        <w:rPr>
          <w:rFonts w:cs="Times New Roman"/>
          <w:sz w:val="20"/>
          <w:szCs w:val="20"/>
        </w:rPr>
      </w:pPr>
    </w:p>
    <w:p w14:paraId="0CD48C74" w14:textId="27AED6FA" w:rsidR="0023453C" w:rsidRDefault="0023453C" w:rsidP="00343FC8">
      <w:pPr>
        <w:widowControl w:val="0"/>
        <w:jc w:val="center"/>
        <w:rPr>
          <w:rFonts w:cs="Times New Roman"/>
          <w:sz w:val="20"/>
          <w:szCs w:val="20"/>
        </w:rPr>
      </w:pPr>
    </w:p>
    <w:sectPr w:rsidR="0023453C" w:rsidSect="00385EAD">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BC4" w14:textId="77777777" w:rsidR="00D94B5D" w:rsidRDefault="00D94B5D" w:rsidP="00183526">
      <w:r>
        <w:separator/>
      </w:r>
    </w:p>
  </w:endnote>
  <w:endnote w:type="continuationSeparator" w:id="0">
    <w:p w14:paraId="03511D2E" w14:textId="77777777" w:rsidR="00D94B5D" w:rsidRDefault="00D94B5D" w:rsidP="00183526">
      <w:r>
        <w:continuationSeparator/>
      </w:r>
    </w:p>
  </w:endnote>
  <w:endnote w:type="continuationNotice" w:id="1">
    <w:p w14:paraId="77B5F8CF" w14:textId="77777777" w:rsidR="00D94B5D" w:rsidRDefault="00D94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6A1F2" w14:textId="77777777" w:rsidR="00D94B5D" w:rsidRDefault="00D94B5D" w:rsidP="00183526">
      <w:r>
        <w:separator/>
      </w:r>
    </w:p>
  </w:footnote>
  <w:footnote w:type="continuationSeparator" w:id="0">
    <w:p w14:paraId="0D3FF145" w14:textId="77777777" w:rsidR="00D94B5D" w:rsidRDefault="00D94B5D" w:rsidP="00183526">
      <w:r>
        <w:continuationSeparator/>
      </w:r>
    </w:p>
  </w:footnote>
  <w:footnote w:type="continuationNotice" w:id="1">
    <w:p w14:paraId="4A231566" w14:textId="77777777" w:rsidR="00D94B5D" w:rsidRDefault="00D94B5D"/>
  </w:footnote>
  <w:footnote w:id="2">
    <w:p w14:paraId="611DED0A" w14:textId="77777777" w:rsidR="00542E13" w:rsidRDefault="00542E13" w:rsidP="00542E13">
      <w:pPr>
        <w:pStyle w:val="Vresteksts"/>
      </w:pPr>
      <w:r>
        <w:rPr>
          <w:rStyle w:val="Vresatsauce"/>
        </w:rPr>
        <w:footnoteRef/>
      </w:r>
      <w:r>
        <w:t xml:space="preserve"> 1 SDR = 1.22446, avots: </w:t>
      </w:r>
      <w:hyperlink r:id="rId1" w:history="1">
        <w:r w:rsidRPr="00A93777">
          <w:rPr>
            <w:rStyle w:val="Hipersaite"/>
          </w:rPr>
          <w:t>https://www.imf.org/external/np/fin/data/rms_five.aspx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986963"/>
      <w:docPartObj>
        <w:docPartGallery w:val="Page Numbers (Top of Page)"/>
        <w:docPartUnique/>
      </w:docPartObj>
    </w:sdtPr>
    <w:sdtEndPr>
      <w:rPr>
        <w:noProof/>
      </w:rPr>
    </w:sdtEndPr>
    <w:sdtContent>
      <w:p w14:paraId="108F14C4" w14:textId="5FBAA345" w:rsidR="00FF4703" w:rsidRDefault="00FF4703">
        <w:pPr>
          <w:pStyle w:val="Galvene"/>
          <w:jc w:val="center"/>
        </w:pPr>
        <w:r w:rsidRPr="007324C4">
          <w:rPr>
            <w:sz w:val="26"/>
            <w:szCs w:val="26"/>
          </w:rPr>
          <w:fldChar w:fldCharType="begin"/>
        </w:r>
        <w:r w:rsidRPr="007324C4">
          <w:rPr>
            <w:sz w:val="26"/>
            <w:szCs w:val="26"/>
          </w:rPr>
          <w:instrText xml:space="preserve"> PAGE   \* MERGEFORMAT </w:instrText>
        </w:r>
        <w:r w:rsidRPr="007324C4">
          <w:rPr>
            <w:sz w:val="26"/>
            <w:szCs w:val="26"/>
          </w:rPr>
          <w:fldChar w:fldCharType="separate"/>
        </w:r>
        <w:r w:rsidR="00BF57DA" w:rsidRPr="007324C4">
          <w:rPr>
            <w:noProof/>
            <w:sz w:val="26"/>
            <w:szCs w:val="26"/>
          </w:rPr>
          <w:t>4</w:t>
        </w:r>
        <w:r w:rsidRPr="007324C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Virsraksts1"/>
      <w:lvlText w:val="%1."/>
      <w:lvlJc w:val="left"/>
      <w:pPr>
        <w:tabs>
          <w:tab w:val="num" w:pos="801"/>
        </w:tabs>
        <w:ind w:left="801" w:hanging="375"/>
      </w:pPr>
      <w:rPr>
        <w:rFonts w:cs="Times New Roman" w:hint="default"/>
      </w:rPr>
    </w:lvl>
    <w:lvl w:ilvl="1">
      <w:start w:val="1"/>
      <w:numFmt w:val="decimal"/>
      <w:pStyle w:val="Virsraksts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43263B"/>
    <w:multiLevelType w:val="hybridMultilevel"/>
    <w:tmpl w:val="3782FFA6"/>
    <w:lvl w:ilvl="0" w:tplc="C50859AC">
      <w:start w:val="1"/>
      <w:numFmt w:val="bullet"/>
      <w:lvlText w:val=""/>
      <w:lvlJc w:val="left"/>
      <w:pPr>
        <w:ind w:left="495" w:hanging="360"/>
      </w:pPr>
      <w:rPr>
        <w:rFonts w:ascii="Symbol" w:hAnsi="Symbol" w:hint="default"/>
        <w:sz w:val="16"/>
      </w:rPr>
    </w:lvl>
    <w:lvl w:ilvl="1" w:tplc="FFFFFFFF" w:tentative="1">
      <w:start w:val="1"/>
      <w:numFmt w:val="bullet"/>
      <w:lvlText w:val="o"/>
      <w:lvlJc w:val="left"/>
      <w:pPr>
        <w:ind w:left="1215" w:hanging="360"/>
      </w:pPr>
      <w:rPr>
        <w:rFonts w:ascii="Courier New" w:hAnsi="Courier New" w:cs="Courier New" w:hint="default"/>
      </w:rPr>
    </w:lvl>
    <w:lvl w:ilvl="2" w:tplc="FFFFFFFF" w:tentative="1">
      <w:start w:val="1"/>
      <w:numFmt w:val="bullet"/>
      <w:lvlText w:val=""/>
      <w:lvlJc w:val="left"/>
      <w:pPr>
        <w:ind w:left="1935" w:hanging="360"/>
      </w:pPr>
      <w:rPr>
        <w:rFonts w:ascii="Wingdings" w:hAnsi="Wingdings" w:hint="default"/>
      </w:rPr>
    </w:lvl>
    <w:lvl w:ilvl="3" w:tplc="FFFFFFFF" w:tentative="1">
      <w:start w:val="1"/>
      <w:numFmt w:val="bullet"/>
      <w:lvlText w:val=""/>
      <w:lvlJc w:val="left"/>
      <w:pPr>
        <w:ind w:left="2655" w:hanging="360"/>
      </w:pPr>
      <w:rPr>
        <w:rFonts w:ascii="Symbol" w:hAnsi="Symbol" w:hint="default"/>
      </w:rPr>
    </w:lvl>
    <w:lvl w:ilvl="4" w:tplc="FFFFFFFF" w:tentative="1">
      <w:start w:val="1"/>
      <w:numFmt w:val="bullet"/>
      <w:lvlText w:val="o"/>
      <w:lvlJc w:val="left"/>
      <w:pPr>
        <w:ind w:left="3375" w:hanging="360"/>
      </w:pPr>
      <w:rPr>
        <w:rFonts w:ascii="Courier New" w:hAnsi="Courier New" w:cs="Courier New" w:hint="default"/>
      </w:rPr>
    </w:lvl>
    <w:lvl w:ilvl="5" w:tplc="FFFFFFFF" w:tentative="1">
      <w:start w:val="1"/>
      <w:numFmt w:val="bullet"/>
      <w:lvlText w:val=""/>
      <w:lvlJc w:val="left"/>
      <w:pPr>
        <w:ind w:left="4095" w:hanging="360"/>
      </w:pPr>
      <w:rPr>
        <w:rFonts w:ascii="Wingdings" w:hAnsi="Wingdings" w:hint="default"/>
      </w:rPr>
    </w:lvl>
    <w:lvl w:ilvl="6" w:tplc="FFFFFFFF" w:tentative="1">
      <w:start w:val="1"/>
      <w:numFmt w:val="bullet"/>
      <w:lvlText w:val=""/>
      <w:lvlJc w:val="left"/>
      <w:pPr>
        <w:ind w:left="4815" w:hanging="360"/>
      </w:pPr>
      <w:rPr>
        <w:rFonts w:ascii="Symbol" w:hAnsi="Symbol" w:hint="default"/>
      </w:rPr>
    </w:lvl>
    <w:lvl w:ilvl="7" w:tplc="FFFFFFFF" w:tentative="1">
      <w:start w:val="1"/>
      <w:numFmt w:val="bullet"/>
      <w:lvlText w:val="o"/>
      <w:lvlJc w:val="left"/>
      <w:pPr>
        <w:ind w:left="5535" w:hanging="360"/>
      </w:pPr>
      <w:rPr>
        <w:rFonts w:ascii="Courier New" w:hAnsi="Courier New" w:cs="Courier New" w:hint="default"/>
      </w:rPr>
    </w:lvl>
    <w:lvl w:ilvl="8" w:tplc="FFFFFFFF" w:tentative="1">
      <w:start w:val="1"/>
      <w:numFmt w:val="bullet"/>
      <w:lvlText w:val=""/>
      <w:lvlJc w:val="left"/>
      <w:pPr>
        <w:ind w:left="6255" w:hanging="360"/>
      </w:pPr>
      <w:rPr>
        <w:rFonts w:ascii="Wingdings" w:hAnsi="Wingdings" w:hint="default"/>
      </w:r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70417D"/>
    <w:multiLevelType w:val="multilevel"/>
    <w:tmpl w:val="26BA21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494A8D"/>
    <w:multiLevelType w:val="multilevel"/>
    <w:tmpl w:val="20384EDC"/>
    <w:lvl w:ilvl="0">
      <w:start w:val="1"/>
      <w:numFmt w:val="decimal"/>
      <w:lvlText w:val="%1."/>
      <w:lvlJc w:val="left"/>
      <w:pPr>
        <w:ind w:left="5039" w:hanging="360"/>
      </w:pPr>
      <w:rPr>
        <w:rFonts w:cs="Times New Roman" w:hint="default"/>
        <w:sz w:val="28"/>
        <w:szCs w:val="28"/>
      </w:rPr>
    </w:lvl>
    <w:lvl w:ilvl="1">
      <w:start w:val="1"/>
      <w:numFmt w:val="decimal"/>
      <w:isLgl/>
      <w:lvlText w:val="%1.%2."/>
      <w:lvlJc w:val="left"/>
      <w:pPr>
        <w:ind w:left="643"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3"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3E2F5C58"/>
    <w:multiLevelType w:val="hybridMultilevel"/>
    <w:tmpl w:val="45FA18D6"/>
    <w:lvl w:ilvl="0" w:tplc="48F0A6EC">
      <w:start w:val="5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E7A0743"/>
    <w:multiLevelType w:val="multilevel"/>
    <w:tmpl w:val="FBE2B170"/>
    <w:lvl w:ilvl="0">
      <w:start w:val="1"/>
      <w:numFmt w:val="decimal"/>
      <w:lvlText w:val="%1."/>
      <w:lvlJc w:val="left"/>
      <w:pPr>
        <w:ind w:left="76" w:hanging="360"/>
      </w:pPr>
      <w:rPr>
        <w:rFonts w:ascii="Times New Roman" w:hAnsi="Times New Roman" w:cs="Times New Roman" w:hint="default"/>
        <w:color w:val="auto"/>
      </w:rPr>
    </w:lvl>
    <w:lvl w:ilvl="1">
      <w:start w:val="2"/>
      <w:numFmt w:val="decimal"/>
      <w:isLgl/>
      <w:lvlText w:val="%1.%2."/>
      <w:lvlJc w:val="left"/>
      <w:pPr>
        <w:ind w:left="76" w:hanging="360"/>
      </w:pPr>
      <w:rPr>
        <w:rFonts w:ascii="Times New Roman" w:hAnsi="Times New Roman" w:cs="Times New Roman"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5D07AF0"/>
    <w:multiLevelType w:val="hybridMultilevel"/>
    <w:tmpl w:val="18C6B73E"/>
    <w:lvl w:ilvl="0" w:tplc="7298AF6E">
      <w:start w:val="1"/>
      <w:numFmt w:val="bullet"/>
      <w:lvlText w:val=""/>
      <w:lvlJc w:val="left"/>
      <w:pPr>
        <w:ind w:left="1800" w:hanging="360"/>
      </w:pPr>
      <w:rPr>
        <w:rFonts w:ascii="Symbol" w:hAnsi="Symbol"/>
      </w:rPr>
    </w:lvl>
    <w:lvl w:ilvl="1" w:tplc="C454522C">
      <w:start w:val="1"/>
      <w:numFmt w:val="bullet"/>
      <w:lvlText w:val=""/>
      <w:lvlJc w:val="left"/>
      <w:pPr>
        <w:ind w:left="1800" w:hanging="360"/>
      </w:pPr>
      <w:rPr>
        <w:rFonts w:ascii="Symbol" w:hAnsi="Symbol"/>
      </w:rPr>
    </w:lvl>
    <w:lvl w:ilvl="2" w:tplc="F354A500">
      <w:start w:val="1"/>
      <w:numFmt w:val="bullet"/>
      <w:lvlText w:val=""/>
      <w:lvlJc w:val="left"/>
      <w:pPr>
        <w:ind w:left="1800" w:hanging="360"/>
      </w:pPr>
      <w:rPr>
        <w:rFonts w:ascii="Symbol" w:hAnsi="Symbol"/>
      </w:rPr>
    </w:lvl>
    <w:lvl w:ilvl="3" w:tplc="790ACF04">
      <w:start w:val="1"/>
      <w:numFmt w:val="bullet"/>
      <w:lvlText w:val=""/>
      <w:lvlJc w:val="left"/>
      <w:pPr>
        <w:ind w:left="1800" w:hanging="360"/>
      </w:pPr>
      <w:rPr>
        <w:rFonts w:ascii="Symbol" w:hAnsi="Symbol"/>
      </w:rPr>
    </w:lvl>
    <w:lvl w:ilvl="4" w:tplc="8D3CADCA">
      <w:start w:val="1"/>
      <w:numFmt w:val="bullet"/>
      <w:lvlText w:val=""/>
      <w:lvlJc w:val="left"/>
      <w:pPr>
        <w:ind w:left="1800" w:hanging="360"/>
      </w:pPr>
      <w:rPr>
        <w:rFonts w:ascii="Symbol" w:hAnsi="Symbol"/>
      </w:rPr>
    </w:lvl>
    <w:lvl w:ilvl="5" w:tplc="A1FA9398">
      <w:start w:val="1"/>
      <w:numFmt w:val="bullet"/>
      <w:lvlText w:val=""/>
      <w:lvlJc w:val="left"/>
      <w:pPr>
        <w:ind w:left="1800" w:hanging="360"/>
      </w:pPr>
      <w:rPr>
        <w:rFonts w:ascii="Symbol" w:hAnsi="Symbol"/>
      </w:rPr>
    </w:lvl>
    <w:lvl w:ilvl="6" w:tplc="A49EAF68">
      <w:start w:val="1"/>
      <w:numFmt w:val="bullet"/>
      <w:lvlText w:val=""/>
      <w:lvlJc w:val="left"/>
      <w:pPr>
        <w:ind w:left="1800" w:hanging="360"/>
      </w:pPr>
      <w:rPr>
        <w:rFonts w:ascii="Symbol" w:hAnsi="Symbol"/>
      </w:rPr>
    </w:lvl>
    <w:lvl w:ilvl="7" w:tplc="A4FA88EC">
      <w:start w:val="1"/>
      <w:numFmt w:val="bullet"/>
      <w:lvlText w:val=""/>
      <w:lvlJc w:val="left"/>
      <w:pPr>
        <w:ind w:left="1800" w:hanging="360"/>
      </w:pPr>
      <w:rPr>
        <w:rFonts w:ascii="Symbol" w:hAnsi="Symbol"/>
      </w:rPr>
    </w:lvl>
    <w:lvl w:ilvl="8" w:tplc="2AE03BDE">
      <w:start w:val="1"/>
      <w:numFmt w:val="bullet"/>
      <w:lvlText w:val=""/>
      <w:lvlJc w:val="left"/>
      <w:pPr>
        <w:ind w:left="1800" w:hanging="360"/>
      </w:pPr>
      <w:rPr>
        <w:rFonts w:ascii="Symbol" w:hAnsi="Symbol"/>
      </w:r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C731C95"/>
    <w:multiLevelType w:val="multilevel"/>
    <w:tmpl w:val="AAF0669C"/>
    <w:lvl w:ilvl="0">
      <w:start w:val="1"/>
      <w:numFmt w:val="decimal"/>
      <w:lvlText w:val="%1."/>
      <w:lvlJc w:val="left"/>
      <w:pPr>
        <w:ind w:left="720" w:hanging="363"/>
      </w:pPr>
      <w:rPr>
        <w:rFonts w:ascii="Times New Roman Bold" w:hAnsi="Times New Roman Bold" w:hint="default"/>
        <w:b/>
      </w:rPr>
    </w:lvl>
    <w:lvl w:ilvl="1">
      <w:start w:val="1"/>
      <w:numFmt w:val="decimal"/>
      <w:isLgl/>
      <w:lvlText w:val="%1.%2."/>
      <w:lvlJc w:val="left"/>
      <w:pPr>
        <w:ind w:left="720" w:hanging="363"/>
      </w:pPr>
      <w:rPr>
        <w:rFonts w:ascii="Times New Roman" w:hAnsi="Times New Roman" w:hint="default"/>
        <w:b w:val="0"/>
        <w:i w:val="0"/>
      </w:rPr>
    </w:lvl>
    <w:lvl w:ilvl="2">
      <w:start w:val="1"/>
      <w:numFmt w:val="decimal"/>
      <w:isLgl/>
      <w:suff w:val="space"/>
      <w:lvlText w:val="%1.%2.%3."/>
      <w:lvlJc w:val="left"/>
      <w:pPr>
        <w:ind w:left="720" w:hanging="363"/>
      </w:pPr>
      <w:rPr>
        <w:rFonts w:ascii="Times New Roman" w:hAnsi="Times New Roman" w:hint="default"/>
      </w:rPr>
    </w:lvl>
    <w:lvl w:ilvl="3">
      <w:start w:val="1"/>
      <w:numFmt w:val="decimal"/>
      <w:isLgl/>
      <w:lvlText w:val="%1.%2.%3.%4."/>
      <w:lvlJc w:val="left"/>
      <w:pPr>
        <w:ind w:left="720" w:hanging="363"/>
      </w:pPr>
      <w:rPr>
        <w:rFonts w:ascii="Times New Roman" w:hAnsi="Times New Roman" w:hint="default"/>
        <w:b w:val="0"/>
      </w:rPr>
    </w:lvl>
    <w:lvl w:ilvl="4">
      <w:start w:val="1"/>
      <w:numFmt w:val="decimal"/>
      <w:isLgl/>
      <w:lvlText w:val="%1.%2.%3.%4.%5."/>
      <w:lvlJc w:val="left"/>
      <w:pPr>
        <w:ind w:left="720" w:hanging="363"/>
      </w:pPr>
      <w:rPr>
        <w:rFonts w:ascii="Times New Roman" w:hAnsi="Times New Roman" w:hint="default"/>
      </w:rPr>
    </w:lvl>
    <w:lvl w:ilvl="5">
      <w:start w:val="1"/>
      <w:numFmt w:val="decimal"/>
      <w:isLgl/>
      <w:lvlText w:val="%1.%2.%3.%4.%5.%6."/>
      <w:lvlJc w:val="left"/>
      <w:pPr>
        <w:ind w:left="720" w:hanging="363"/>
      </w:pPr>
      <w:rPr>
        <w:rFonts w:ascii="Times New Roman" w:hAnsi="Times New Roman" w:hint="default"/>
      </w:rPr>
    </w:lvl>
    <w:lvl w:ilvl="6">
      <w:start w:val="1"/>
      <w:numFmt w:val="decimal"/>
      <w:isLgl/>
      <w:lvlText w:val="%1.%2.%3.%4.%5.%6.%7."/>
      <w:lvlJc w:val="left"/>
      <w:pPr>
        <w:ind w:left="720" w:hanging="363"/>
      </w:pPr>
      <w:rPr>
        <w:rFonts w:ascii="Times New Roman" w:hAnsi="Times New Roman" w:hint="default"/>
      </w:rPr>
    </w:lvl>
    <w:lvl w:ilvl="7">
      <w:start w:val="1"/>
      <w:numFmt w:val="decimal"/>
      <w:isLgl/>
      <w:lvlText w:val="%1.%2.%3.%4.%5.%6.%7.%8."/>
      <w:lvlJc w:val="left"/>
      <w:pPr>
        <w:ind w:left="720" w:hanging="363"/>
      </w:pPr>
      <w:rPr>
        <w:rFonts w:ascii="Times New Roman" w:hAnsi="Times New Roman" w:hint="default"/>
      </w:rPr>
    </w:lvl>
    <w:lvl w:ilvl="8">
      <w:start w:val="1"/>
      <w:numFmt w:val="decimal"/>
      <w:isLgl/>
      <w:lvlText w:val="%1.%2.%3.%4.%5.%6.%7.%8.%9."/>
      <w:lvlJc w:val="left"/>
      <w:pPr>
        <w:ind w:left="720" w:hanging="363"/>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D3644"/>
    <w:multiLevelType w:val="hybridMultilevel"/>
    <w:tmpl w:val="35C4EE70"/>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7" w15:restartNumberingAfterBreak="0">
    <w:nsid w:val="605A27D4"/>
    <w:multiLevelType w:val="hybridMultilevel"/>
    <w:tmpl w:val="30942986"/>
    <w:lvl w:ilvl="0" w:tplc="64DA6D66">
      <w:start w:val="1"/>
      <w:numFmt w:val="decimal"/>
      <w:lvlText w:val="%1."/>
      <w:lvlJc w:val="left"/>
      <w:pPr>
        <w:ind w:left="1440" w:hanging="360"/>
      </w:pPr>
    </w:lvl>
    <w:lvl w:ilvl="1" w:tplc="5E52CF16">
      <w:start w:val="1"/>
      <w:numFmt w:val="decimal"/>
      <w:lvlText w:val="%2."/>
      <w:lvlJc w:val="left"/>
      <w:pPr>
        <w:ind w:left="1440" w:hanging="360"/>
      </w:pPr>
    </w:lvl>
    <w:lvl w:ilvl="2" w:tplc="29DE8152">
      <w:start w:val="1"/>
      <w:numFmt w:val="decimal"/>
      <w:lvlText w:val="%3."/>
      <w:lvlJc w:val="left"/>
      <w:pPr>
        <w:ind w:left="1440" w:hanging="360"/>
      </w:pPr>
    </w:lvl>
    <w:lvl w:ilvl="3" w:tplc="B58A1000">
      <w:start w:val="1"/>
      <w:numFmt w:val="decimal"/>
      <w:lvlText w:val="%4."/>
      <w:lvlJc w:val="left"/>
      <w:pPr>
        <w:ind w:left="1440" w:hanging="360"/>
      </w:pPr>
    </w:lvl>
    <w:lvl w:ilvl="4" w:tplc="46B62A14">
      <w:start w:val="1"/>
      <w:numFmt w:val="decimal"/>
      <w:lvlText w:val="%5."/>
      <w:lvlJc w:val="left"/>
      <w:pPr>
        <w:ind w:left="1440" w:hanging="360"/>
      </w:pPr>
    </w:lvl>
    <w:lvl w:ilvl="5" w:tplc="998067A0">
      <w:start w:val="1"/>
      <w:numFmt w:val="decimal"/>
      <w:lvlText w:val="%6."/>
      <w:lvlJc w:val="left"/>
      <w:pPr>
        <w:ind w:left="1440" w:hanging="360"/>
      </w:pPr>
    </w:lvl>
    <w:lvl w:ilvl="6" w:tplc="FC341C02">
      <w:start w:val="1"/>
      <w:numFmt w:val="decimal"/>
      <w:lvlText w:val="%7."/>
      <w:lvlJc w:val="left"/>
      <w:pPr>
        <w:ind w:left="1440" w:hanging="360"/>
      </w:pPr>
    </w:lvl>
    <w:lvl w:ilvl="7" w:tplc="CAE2D8E2">
      <w:start w:val="1"/>
      <w:numFmt w:val="decimal"/>
      <w:lvlText w:val="%8."/>
      <w:lvlJc w:val="left"/>
      <w:pPr>
        <w:ind w:left="1440" w:hanging="360"/>
      </w:pPr>
    </w:lvl>
    <w:lvl w:ilvl="8" w:tplc="19A65276">
      <w:start w:val="1"/>
      <w:numFmt w:val="decimal"/>
      <w:lvlText w:val="%9."/>
      <w:lvlJc w:val="left"/>
      <w:pPr>
        <w:ind w:left="1440" w:hanging="360"/>
      </w:pPr>
    </w:lvl>
  </w:abstractNum>
  <w:abstractNum w:abstractNumId="3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8603B0"/>
    <w:multiLevelType w:val="multilevel"/>
    <w:tmpl w:val="3C2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2"/>
  </w:num>
  <w:num w:numId="2" w16cid:durableId="1500927709">
    <w:abstractNumId w:val="24"/>
  </w:num>
  <w:num w:numId="3" w16cid:durableId="767383059">
    <w:abstractNumId w:val="1"/>
  </w:num>
  <w:num w:numId="4" w16cid:durableId="771781543">
    <w:abstractNumId w:val="42"/>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9"/>
  </w:num>
  <w:num w:numId="9" w16cid:durableId="145441477">
    <w:abstractNumId w:val="21"/>
  </w:num>
  <w:num w:numId="10" w16cid:durableId="112673181">
    <w:abstractNumId w:val="3"/>
  </w:num>
  <w:num w:numId="11" w16cid:durableId="41056034">
    <w:abstractNumId w:val="11"/>
  </w:num>
  <w:num w:numId="12" w16cid:durableId="1926918543">
    <w:abstractNumId w:val="38"/>
  </w:num>
  <w:num w:numId="13" w16cid:durableId="1606426433">
    <w:abstractNumId w:val="8"/>
  </w:num>
  <w:num w:numId="14" w16cid:durableId="298806307">
    <w:abstractNumId w:val="45"/>
  </w:num>
  <w:num w:numId="15" w16cid:durableId="1364211704">
    <w:abstractNumId w:val="34"/>
  </w:num>
  <w:num w:numId="16" w16cid:durableId="1727993836">
    <w:abstractNumId w:val="32"/>
  </w:num>
  <w:num w:numId="17" w16cid:durableId="185801260">
    <w:abstractNumId w:val="6"/>
  </w:num>
  <w:num w:numId="18" w16cid:durableId="1604146751">
    <w:abstractNumId w:val="5"/>
  </w:num>
  <w:num w:numId="19" w16cid:durableId="82386620">
    <w:abstractNumId w:val="46"/>
  </w:num>
  <w:num w:numId="20" w16cid:durableId="791241671">
    <w:abstractNumId w:val="2"/>
  </w:num>
  <w:num w:numId="21" w16cid:durableId="1472362145">
    <w:abstractNumId w:val="20"/>
  </w:num>
  <w:num w:numId="22" w16cid:durableId="1099524379">
    <w:abstractNumId w:val="40"/>
  </w:num>
  <w:num w:numId="23" w16cid:durableId="122433928">
    <w:abstractNumId w:val="30"/>
  </w:num>
  <w:num w:numId="24" w16cid:durableId="1359232207">
    <w:abstractNumId w:val="44"/>
  </w:num>
  <w:num w:numId="25" w16cid:durableId="303237464">
    <w:abstractNumId w:val="9"/>
  </w:num>
  <w:num w:numId="26" w16cid:durableId="562646045">
    <w:abstractNumId w:val="26"/>
  </w:num>
  <w:num w:numId="27" w16cid:durableId="616837573">
    <w:abstractNumId w:val="23"/>
  </w:num>
  <w:num w:numId="28" w16cid:durableId="1285425847">
    <w:abstractNumId w:val="18"/>
  </w:num>
  <w:num w:numId="29" w16cid:durableId="255789602">
    <w:abstractNumId w:val="15"/>
  </w:num>
  <w:num w:numId="30" w16cid:durableId="1185361322">
    <w:abstractNumId w:val="17"/>
  </w:num>
  <w:num w:numId="31" w16cid:durableId="1199126460">
    <w:abstractNumId w:val="41"/>
  </w:num>
  <w:num w:numId="32" w16cid:durableId="911039321">
    <w:abstractNumId w:val="33"/>
  </w:num>
  <w:num w:numId="33" w16cid:durableId="2107341477">
    <w:abstractNumId w:val="27"/>
  </w:num>
  <w:num w:numId="34" w16cid:durableId="1821925811">
    <w:abstractNumId w:val="0"/>
  </w:num>
  <w:num w:numId="35" w16cid:durableId="838889223">
    <w:abstractNumId w:val="39"/>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5"/>
  </w:num>
  <w:num w:numId="41" w16cid:durableId="233315903">
    <w:abstractNumId w:val="14"/>
  </w:num>
  <w:num w:numId="42" w16cid:durableId="478575332">
    <w:abstractNumId w:val="29"/>
  </w:num>
  <w:num w:numId="43" w16cid:durableId="1536428485">
    <w:abstractNumId w:val="47"/>
  </w:num>
  <w:num w:numId="44" w16cid:durableId="250747879">
    <w:abstractNumId w:val="12"/>
  </w:num>
  <w:num w:numId="45" w16cid:durableId="680199872">
    <w:abstractNumId w:val="28"/>
  </w:num>
  <w:num w:numId="46" w16cid:durableId="2129078735">
    <w:abstractNumId w:val="31"/>
  </w:num>
  <w:num w:numId="47" w16cid:durableId="279726528">
    <w:abstractNumId w:val="16"/>
  </w:num>
  <w:num w:numId="48" w16cid:durableId="880704949">
    <w:abstractNumId w:val="36"/>
  </w:num>
  <w:num w:numId="49" w16cid:durableId="1821651377">
    <w:abstractNumId w:val="7"/>
  </w:num>
  <w:num w:numId="50" w16cid:durableId="20078271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27384"/>
    <w:rsid w:val="00032351"/>
    <w:rsid w:val="00032D14"/>
    <w:rsid w:val="000341F3"/>
    <w:rsid w:val="00034770"/>
    <w:rsid w:val="00047CA9"/>
    <w:rsid w:val="00054748"/>
    <w:rsid w:val="00055163"/>
    <w:rsid w:val="00056721"/>
    <w:rsid w:val="00057ADF"/>
    <w:rsid w:val="0006163F"/>
    <w:rsid w:val="00061AAB"/>
    <w:rsid w:val="000664A4"/>
    <w:rsid w:val="00070641"/>
    <w:rsid w:val="00070B01"/>
    <w:rsid w:val="00076C44"/>
    <w:rsid w:val="000776A7"/>
    <w:rsid w:val="00083AAC"/>
    <w:rsid w:val="00085BE6"/>
    <w:rsid w:val="00086053"/>
    <w:rsid w:val="00086A7A"/>
    <w:rsid w:val="00087D18"/>
    <w:rsid w:val="0009245D"/>
    <w:rsid w:val="000A0838"/>
    <w:rsid w:val="000A163C"/>
    <w:rsid w:val="000A3F84"/>
    <w:rsid w:val="000A4994"/>
    <w:rsid w:val="000B29D6"/>
    <w:rsid w:val="000B6F59"/>
    <w:rsid w:val="000C23CD"/>
    <w:rsid w:val="000C2B5D"/>
    <w:rsid w:val="000C6592"/>
    <w:rsid w:val="000D094F"/>
    <w:rsid w:val="000D2092"/>
    <w:rsid w:val="000D2954"/>
    <w:rsid w:val="000D2AC2"/>
    <w:rsid w:val="000D7490"/>
    <w:rsid w:val="000E345B"/>
    <w:rsid w:val="000E7248"/>
    <w:rsid w:val="000F4217"/>
    <w:rsid w:val="000F4595"/>
    <w:rsid w:val="000F5054"/>
    <w:rsid w:val="000F6A25"/>
    <w:rsid w:val="001026E7"/>
    <w:rsid w:val="0010542E"/>
    <w:rsid w:val="00107F0F"/>
    <w:rsid w:val="00112522"/>
    <w:rsid w:val="001127F1"/>
    <w:rsid w:val="001128B7"/>
    <w:rsid w:val="00112C30"/>
    <w:rsid w:val="00113380"/>
    <w:rsid w:val="00122319"/>
    <w:rsid w:val="00123564"/>
    <w:rsid w:val="00127A17"/>
    <w:rsid w:val="00127DB0"/>
    <w:rsid w:val="001338F7"/>
    <w:rsid w:val="00134178"/>
    <w:rsid w:val="0013790B"/>
    <w:rsid w:val="001412FA"/>
    <w:rsid w:val="00147A96"/>
    <w:rsid w:val="00153721"/>
    <w:rsid w:val="00154282"/>
    <w:rsid w:val="00154725"/>
    <w:rsid w:val="001549CD"/>
    <w:rsid w:val="001574FD"/>
    <w:rsid w:val="00160B7B"/>
    <w:rsid w:val="00162D66"/>
    <w:rsid w:val="0016491C"/>
    <w:rsid w:val="00165ED3"/>
    <w:rsid w:val="00166847"/>
    <w:rsid w:val="00166D68"/>
    <w:rsid w:val="0016742B"/>
    <w:rsid w:val="0016743F"/>
    <w:rsid w:val="0017122C"/>
    <w:rsid w:val="00171DE3"/>
    <w:rsid w:val="001737B5"/>
    <w:rsid w:val="00175078"/>
    <w:rsid w:val="001834F2"/>
    <w:rsid w:val="00183526"/>
    <w:rsid w:val="0019250D"/>
    <w:rsid w:val="00193220"/>
    <w:rsid w:val="00193D41"/>
    <w:rsid w:val="001940CB"/>
    <w:rsid w:val="00194A2E"/>
    <w:rsid w:val="00194E76"/>
    <w:rsid w:val="001A00E5"/>
    <w:rsid w:val="001A1CC5"/>
    <w:rsid w:val="001B1734"/>
    <w:rsid w:val="001B293F"/>
    <w:rsid w:val="001B3229"/>
    <w:rsid w:val="001B77CF"/>
    <w:rsid w:val="001C0483"/>
    <w:rsid w:val="001C28B3"/>
    <w:rsid w:val="001C327F"/>
    <w:rsid w:val="001D0800"/>
    <w:rsid w:val="001D08A3"/>
    <w:rsid w:val="001D0E3E"/>
    <w:rsid w:val="001D4F19"/>
    <w:rsid w:val="001D68C7"/>
    <w:rsid w:val="001D6A6E"/>
    <w:rsid w:val="001D7F8C"/>
    <w:rsid w:val="001E1C18"/>
    <w:rsid w:val="001E22B4"/>
    <w:rsid w:val="001E7089"/>
    <w:rsid w:val="001E7C30"/>
    <w:rsid w:val="001F0206"/>
    <w:rsid w:val="001F09F7"/>
    <w:rsid w:val="001F1B7B"/>
    <w:rsid w:val="001F1BE9"/>
    <w:rsid w:val="001F4A90"/>
    <w:rsid w:val="001F75B4"/>
    <w:rsid w:val="00207472"/>
    <w:rsid w:val="00210027"/>
    <w:rsid w:val="00211D3D"/>
    <w:rsid w:val="00212746"/>
    <w:rsid w:val="00212762"/>
    <w:rsid w:val="00217107"/>
    <w:rsid w:val="002221B8"/>
    <w:rsid w:val="00223008"/>
    <w:rsid w:val="00227D10"/>
    <w:rsid w:val="002305A0"/>
    <w:rsid w:val="00231AAF"/>
    <w:rsid w:val="00233174"/>
    <w:rsid w:val="00233CE4"/>
    <w:rsid w:val="00233DB3"/>
    <w:rsid w:val="0023453C"/>
    <w:rsid w:val="00236B9A"/>
    <w:rsid w:val="00240842"/>
    <w:rsid w:val="00243089"/>
    <w:rsid w:val="00243196"/>
    <w:rsid w:val="0024395C"/>
    <w:rsid w:val="00247646"/>
    <w:rsid w:val="00250450"/>
    <w:rsid w:val="00251438"/>
    <w:rsid w:val="0025186E"/>
    <w:rsid w:val="00251BA3"/>
    <w:rsid w:val="0025282D"/>
    <w:rsid w:val="00252978"/>
    <w:rsid w:val="00252B74"/>
    <w:rsid w:val="002540C5"/>
    <w:rsid w:val="00254D9C"/>
    <w:rsid w:val="00257E53"/>
    <w:rsid w:val="00257FBE"/>
    <w:rsid w:val="00263A8B"/>
    <w:rsid w:val="00264ACD"/>
    <w:rsid w:val="002652F2"/>
    <w:rsid w:val="00275CE1"/>
    <w:rsid w:val="0028070E"/>
    <w:rsid w:val="002821EA"/>
    <w:rsid w:val="00282BB9"/>
    <w:rsid w:val="00284128"/>
    <w:rsid w:val="002867D5"/>
    <w:rsid w:val="00293563"/>
    <w:rsid w:val="0029358F"/>
    <w:rsid w:val="002A574D"/>
    <w:rsid w:val="002A630D"/>
    <w:rsid w:val="002A72E0"/>
    <w:rsid w:val="002B0FCF"/>
    <w:rsid w:val="002B334F"/>
    <w:rsid w:val="002B64E2"/>
    <w:rsid w:val="002B79AD"/>
    <w:rsid w:val="002C3CA6"/>
    <w:rsid w:val="002D2490"/>
    <w:rsid w:val="002D299B"/>
    <w:rsid w:val="002E4DCA"/>
    <w:rsid w:val="002E4F68"/>
    <w:rsid w:val="002E7319"/>
    <w:rsid w:val="002E74A7"/>
    <w:rsid w:val="002F42A8"/>
    <w:rsid w:val="002F4891"/>
    <w:rsid w:val="002F797F"/>
    <w:rsid w:val="00306361"/>
    <w:rsid w:val="003127E8"/>
    <w:rsid w:val="00313B3B"/>
    <w:rsid w:val="003140C2"/>
    <w:rsid w:val="00315271"/>
    <w:rsid w:val="003158DA"/>
    <w:rsid w:val="00320940"/>
    <w:rsid w:val="00320A84"/>
    <w:rsid w:val="003219DE"/>
    <w:rsid w:val="00321B9B"/>
    <w:rsid w:val="00326F16"/>
    <w:rsid w:val="00331763"/>
    <w:rsid w:val="00333C47"/>
    <w:rsid w:val="00334E98"/>
    <w:rsid w:val="00337B84"/>
    <w:rsid w:val="003435AD"/>
    <w:rsid w:val="00343FC8"/>
    <w:rsid w:val="00350730"/>
    <w:rsid w:val="003548B5"/>
    <w:rsid w:val="00354E17"/>
    <w:rsid w:val="00360B63"/>
    <w:rsid w:val="003610F1"/>
    <w:rsid w:val="00361DFE"/>
    <w:rsid w:val="00363CC4"/>
    <w:rsid w:val="00363DA9"/>
    <w:rsid w:val="0037158A"/>
    <w:rsid w:val="003723E1"/>
    <w:rsid w:val="00373DE8"/>
    <w:rsid w:val="00377B89"/>
    <w:rsid w:val="0038027D"/>
    <w:rsid w:val="003806B3"/>
    <w:rsid w:val="003828F1"/>
    <w:rsid w:val="0038448D"/>
    <w:rsid w:val="00384803"/>
    <w:rsid w:val="003848AC"/>
    <w:rsid w:val="00385EAD"/>
    <w:rsid w:val="003875CE"/>
    <w:rsid w:val="003915D0"/>
    <w:rsid w:val="00396C58"/>
    <w:rsid w:val="003A3B43"/>
    <w:rsid w:val="003A3E53"/>
    <w:rsid w:val="003B3847"/>
    <w:rsid w:val="003B3F08"/>
    <w:rsid w:val="003B426A"/>
    <w:rsid w:val="003B569E"/>
    <w:rsid w:val="003B5C4E"/>
    <w:rsid w:val="003B60DC"/>
    <w:rsid w:val="003C2A2B"/>
    <w:rsid w:val="003C2BE6"/>
    <w:rsid w:val="003C3738"/>
    <w:rsid w:val="003C3BDC"/>
    <w:rsid w:val="003D4879"/>
    <w:rsid w:val="003D6890"/>
    <w:rsid w:val="003D77A8"/>
    <w:rsid w:val="003E0177"/>
    <w:rsid w:val="003E20DD"/>
    <w:rsid w:val="003E3655"/>
    <w:rsid w:val="003E5984"/>
    <w:rsid w:val="003E5C05"/>
    <w:rsid w:val="003F08E4"/>
    <w:rsid w:val="003F4BD9"/>
    <w:rsid w:val="003F6824"/>
    <w:rsid w:val="00400A3B"/>
    <w:rsid w:val="004025B6"/>
    <w:rsid w:val="0040277E"/>
    <w:rsid w:val="00404493"/>
    <w:rsid w:val="004060B7"/>
    <w:rsid w:val="00412D93"/>
    <w:rsid w:val="00413119"/>
    <w:rsid w:val="0041408B"/>
    <w:rsid w:val="00421687"/>
    <w:rsid w:val="0042217C"/>
    <w:rsid w:val="0042318C"/>
    <w:rsid w:val="00424A91"/>
    <w:rsid w:val="00425584"/>
    <w:rsid w:val="00425C2C"/>
    <w:rsid w:val="004308E1"/>
    <w:rsid w:val="00433E2B"/>
    <w:rsid w:val="00437B95"/>
    <w:rsid w:val="00441CDD"/>
    <w:rsid w:val="004422AB"/>
    <w:rsid w:val="00443A9C"/>
    <w:rsid w:val="00443C4E"/>
    <w:rsid w:val="00445A1A"/>
    <w:rsid w:val="00450B69"/>
    <w:rsid w:val="004567F0"/>
    <w:rsid w:val="00462A5E"/>
    <w:rsid w:val="00463506"/>
    <w:rsid w:val="00466C6B"/>
    <w:rsid w:val="00467F2F"/>
    <w:rsid w:val="00475B0E"/>
    <w:rsid w:val="00480763"/>
    <w:rsid w:val="0048494D"/>
    <w:rsid w:val="00484C79"/>
    <w:rsid w:val="00486BEC"/>
    <w:rsid w:val="0049218D"/>
    <w:rsid w:val="00497900"/>
    <w:rsid w:val="004A49F3"/>
    <w:rsid w:val="004B1A16"/>
    <w:rsid w:val="004B36DC"/>
    <w:rsid w:val="004B3C64"/>
    <w:rsid w:val="004B47CE"/>
    <w:rsid w:val="004B501C"/>
    <w:rsid w:val="004B67A8"/>
    <w:rsid w:val="004C20F0"/>
    <w:rsid w:val="004C4561"/>
    <w:rsid w:val="004D27CA"/>
    <w:rsid w:val="004D2AC6"/>
    <w:rsid w:val="004D2CB9"/>
    <w:rsid w:val="004D71E0"/>
    <w:rsid w:val="004D79E1"/>
    <w:rsid w:val="004E3A59"/>
    <w:rsid w:val="004E5452"/>
    <w:rsid w:val="004F0060"/>
    <w:rsid w:val="004F1FBD"/>
    <w:rsid w:val="004F2341"/>
    <w:rsid w:val="004F2FB9"/>
    <w:rsid w:val="004F5582"/>
    <w:rsid w:val="004F6E4A"/>
    <w:rsid w:val="004F7F5C"/>
    <w:rsid w:val="00501516"/>
    <w:rsid w:val="00501FAC"/>
    <w:rsid w:val="00502105"/>
    <w:rsid w:val="0050373D"/>
    <w:rsid w:val="0050392E"/>
    <w:rsid w:val="00505429"/>
    <w:rsid w:val="00505579"/>
    <w:rsid w:val="00506FAA"/>
    <w:rsid w:val="00510A87"/>
    <w:rsid w:val="00512266"/>
    <w:rsid w:val="005169C7"/>
    <w:rsid w:val="00517B64"/>
    <w:rsid w:val="0052064A"/>
    <w:rsid w:val="00522051"/>
    <w:rsid w:val="005226C2"/>
    <w:rsid w:val="00526901"/>
    <w:rsid w:val="00527509"/>
    <w:rsid w:val="00531E9F"/>
    <w:rsid w:val="00540D69"/>
    <w:rsid w:val="005420F7"/>
    <w:rsid w:val="00542E13"/>
    <w:rsid w:val="005449CA"/>
    <w:rsid w:val="005478D1"/>
    <w:rsid w:val="00550C85"/>
    <w:rsid w:val="005519D6"/>
    <w:rsid w:val="00552D7C"/>
    <w:rsid w:val="005536F0"/>
    <w:rsid w:val="0055402F"/>
    <w:rsid w:val="005573A4"/>
    <w:rsid w:val="005641EB"/>
    <w:rsid w:val="00565297"/>
    <w:rsid w:val="00565858"/>
    <w:rsid w:val="005661E3"/>
    <w:rsid w:val="00566785"/>
    <w:rsid w:val="00566939"/>
    <w:rsid w:val="0058370D"/>
    <w:rsid w:val="005908FE"/>
    <w:rsid w:val="00591BF5"/>
    <w:rsid w:val="00592ECD"/>
    <w:rsid w:val="005933A4"/>
    <w:rsid w:val="00595D7E"/>
    <w:rsid w:val="0059620C"/>
    <w:rsid w:val="005A6164"/>
    <w:rsid w:val="005A703E"/>
    <w:rsid w:val="005A7A46"/>
    <w:rsid w:val="005B5EAB"/>
    <w:rsid w:val="005C2607"/>
    <w:rsid w:val="005C62BC"/>
    <w:rsid w:val="005C6571"/>
    <w:rsid w:val="005D40C9"/>
    <w:rsid w:val="005D6295"/>
    <w:rsid w:val="005E18E5"/>
    <w:rsid w:val="005E63A5"/>
    <w:rsid w:val="005E6EE6"/>
    <w:rsid w:val="005F1C2B"/>
    <w:rsid w:val="00601696"/>
    <w:rsid w:val="0060292D"/>
    <w:rsid w:val="00603899"/>
    <w:rsid w:val="00604DB2"/>
    <w:rsid w:val="00604EC8"/>
    <w:rsid w:val="00612059"/>
    <w:rsid w:val="00615DDE"/>
    <w:rsid w:val="006167EF"/>
    <w:rsid w:val="00617097"/>
    <w:rsid w:val="006170E0"/>
    <w:rsid w:val="006231E4"/>
    <w:rsid w:val="006305E3"/>
    <w:rsid w:val="0063092F"/>
    <w:rsid w:val="00631456"/>
    <w:rsid w:val="006335A4"/>
    <w:rsid w:val="00634F47"/>
    <w:rsid w:val="0063748D"/>
    <w:rsid w:val="00637E4B"/>
    <w:rsid w:val="006447C9"/>
    <w:rsid w:val="00646770"/>
    <w:rsid w:val="00647103"/>
    <w:rsid w:val="00652046"/>
    <w:rsid w:val="00654B90"/>
    <w:rsid w:val="006611D4"/>
    <w:rsid w:val="00662052"/>
    <w:rsid w:val="00662A90"/>
    <w:rsid w:val="00664DB9"/>
    <w:rsid w:val="006660EF"/>
    <w:rsid w:val="00666267"/>
    <w:rsid w:val="00667512"/>
    <w:rsid w:val="00671A63"/>
    <w:rsid w:val="00672879"/>
    <w:rsid w:val="00672F5B"/>
    <w:rsid w:val="0067364A"/>
    <w:rsid w:val="00674450"/>
    <w:rsid w:val="00675333"/>
    <w:rsid w:val="006765C8"/>
    <w:rsid w:val="00676EFF"/>
    <w:rsid w:val="006775A3"/>
    <w:rsid w:val="00680D22"/>
    <w:rsid w:val="00682D43"/>
    <w:rsid w:val="00683F78"/>
    <w:rsid w:val="0068632A"/>
    <w:rsid w:val="0069103A"/>
    <w:rsid w:val="0069225A"/>
    <w:rsid w:val="0069319E"/>
    <w:rsid w:val="006949BD"/>
    <w:rsid w:val="00694A36"/>
    <w:rsid w:val="00697781"/>
    <w:rsid w:val="006A0FEE"/>
    <w:rsid w:val="006A176E"/>
    <w:rsid w:val="006A1B64"/>
    <w:rsid w:val="006A1EB2"/>
    <w:rsid w:val="006A4B68"/>
    <w:rsid w:val="006A6D7C"/>
    <w:rsid w:val="006B1729"/>
    <w:rsid w:val="006B4756"/>
    <w:rsid w:val="006B4E6C"/>
    <w:rsid w:val="006B5BF8"/>
    <w:rsid w:val="006B6715"/>
    <w:rsid w:val="006C6414"/>
    <w:rsid w:val="006D4AC4"/>
    <w:rsid w:val="006D5CA5"/>
    <w:rsid w:val="006D6B57"/>
    <w:rsid w:val="006D7451"/>
    <w:rsid w:val="006E1284"/>
    <w:rsid w:val="006E1EED"/>
    <w:rsid w:val="006E2BD1"/>
    <w:rsid w:val="006E2C24"/>
    <w:rsid w:val="006E3CA1"/>
    <w:rsid w:val="006E6179"/>
    <w:rsid w:val="006F3D91"/>
    <w:rsid w:val="006F40D8"/>
    <w:rsid w:val="006F41DC"/>
    <w:rsid w:val="006F5FC3"/>
    <w:rsid w:val="006F7418"/>
    <w:rsid w:val="00706B3F"/>
    <w:rsid w:val="0071238E"/>
    <w:rsid w:val="0071364A"/>
    <w:rsid w:val="0071542A"/>
    <w:rsid w:val="00716500"/>
    <w:rsid w:val="00716787"/>
    <w:rsid w:val="00716850"/>
    <w:rsid w:val="00717370"/>
    <w:rsid w:val="00720779"/>
    <w:rsid w:val="00720948"/>
    <w:rsid w:val="00726CC0"/>
    <w:rsid w:val="007312E1"/>
    <w:rsid w:val="007315A8"/>
    <w:rsid w:val="007315BB"/>
    <w:rsid w:val="00731AF5"/>
    <w:rsid w:val="007324C4"/>
    <w:rsid w:val="00736C4C"/>
    <w:rsid w:val="007412AA"/>
    <w:rsid w:val="007462BE"/>
    <w:rsid w:val="0074644B"/>
    <w:rsid w:val="007467D2"/>
    <w:rsid w:val="00746BDD"/>
    <w:rsid w:val="0075520D"/>
    <w:rsid w:val="0075547E"/>
    <w:rsid w:val="00760B2C"/>
    <w:rsid w:val="00761FF8"/>
    <w:rsid w:val="007636B3"/>
    <w:rsid w:val="00764C45"/>
    <w:rsid w:val="00767071"/>
    <w:rsid w:val="0077090C"/>
    <w:rsid w:val="007716C9"/>
    <w:rsid w:val="007728B1"/>
    <w:rsid w:val="00784B6B"/>
    <w:rsid w:val="00784FDC"/>
    <w:rsid w:val="007904D3"/>
    <w:rsid w:val="00790F39"/>
    <w:rsid w:val="00792541"/>
    <w:rsid w:val="00794D30"/>
    <w:rsid w:val="00794E85"/>
    <w:rsid w:val="007A1723"/>
    <w:rsid w:val="007A3B50"/>
    <w:rsid w:val="007A73CA"/>
    <w:rsid w:val="007A7ED3"/>
    <w:rsid w:val="007B22C7"/>
    <w:rsid w:val="007B2649"/>
    <w:rsid w:val="007B3954"/>
    <w:rsid w:val="007B499E"/>
    <w:rsid w:val="007B7332"/>
    <w:rsid w:val="007B7359"/>
    <w:rsid w:val="007C0F41"/>
    <w:rsid w:val="007C2FC0"/>
    <w:rsid w:val="007C3840"/>
    <w:rsid w:val="007C53D3"/>
    <w:rsid w:val="007D06F2"/>
    <w:rsid w:val="007D1803"/>
    <w:rsid w:val="007D2A2A"/>
    <w:rsid w:val="007D3FB1"/>
    <w:rsid w:val="007D79BC"/>
    <w:rsid w:val="007E18F1"/>
    <w:rsid w:val="007E2B85"/>
    <w:rsid w:val="007E3FA1"/>
    <w:rsid w:val="007E5251"/>
    <w:rsid w:val="007E71A5"/>
    <w:rsid w:val="007F2F8D"/>
    <w:rsid w:val="007F51E8"/>
    <w:rsid w:val="0080182F"/>
    <w:rsid w:val="00801D6B"/>
    <w:rsid w:val="00801FE9"/>
    <w:rsid w:val="00802419"/>
    <w:rsid w:val="00802627"/>
    <w:rsid w:val="008032CC"/>
    <w:rsid w:val="00805617"/>
    <w:rsid w:val="0080703E"/>
    <w:rsid w:val="00812EC4"/>
    <w:rsid w:val="00812FAA"/>
    <w:rsid w:val="008151B9"/>
    <w:rsid w:val="008154C3"/>
    <w:rsid w:val="008165F8"/>
    <w:rsid w:val="00816D2F"/>
    <w:rsid w:val="008208B3"/>
    <w:rsid w:val="00823144"/>
    <w:rsid w:val="00823D9F"/>
    <w:rsid w:val="00827C45"/>
    <w:rsid w:val="008308CE"/>
    <w:rsid w:val="008342D8"/>
    <w:rsid w:val="008348FB"/>
    <w:rsid w:val="00837924"/>
    <w:rsid w:val="0084039E"/>
    <w:rsid w:val="00840638"/>
    <w:rsid w:val="00842BC1"/>
    <w:rsid w:val="0084624E"/>
    <w:rsid w:val="00850467"/>
    <w:rsid w:val="00852F77"/>
    <w:rsid w:val="008537C0"/>
    <w:rsid w:val="0085585C"/>
    <w:rsid w:val="00855A52"/>
    <w:rsid w:val="00862024"/>
    <w:rsid w:val="0086409A"/>
    <w:rsid w:val="00864BE0"/>
    <w:rsid w:val="008663DE"/>
    <w:rsid w:val="0086718C"/>
    <w:rsid w:val="0087071E"/>
    <w:rsid w:val="00870932"/>
    <w:rsid w:val="00874510"/>
    <w:rsid w:val="00880693"/>
    <w:rsid w:val="008839EE"/>
    <w:rsid w:val="0088476C"/>
    <w:rsid w:val="00892C30"/>
    <w:rsid w:val="00892D63"/>
    <w:rsid w:val="00893F7A"/>
    <w:rsid w:val="00896B8A"/>
    <w:rsid w:val="008A17B2"/>
    <w:rsid w:val="008A6314"/>
    <w:rsid w:val="008B11EE"/>
    <w:rsid w:val="008B275C"/>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321B"/>
    <w:rsid w:val="00926CFC"/>
    <w:rsid w:val="009302CD"/>
    <w:rsid w:val="0093300E"/>
    <w:rsid w:val="00936765"/>
    <w:rsid w:val="00936DA3"/>
    <w:rsid w:val="00942A7B"/>
    <w:rsid w:val="009432F2"/>
    <w:rsid w:val="00945D7B"/>
    <w:rsid w:val="009507EB"/>
    <w:rsid w:val="00950F93"/>
    <w:rsid w:val="00951580"/>
    <w:rsid w:val="0095403E"/>
    <w:rsid w:val="00954A97"/>
    <w:rsid w:val="00957A49"/>
    <w:rsid w:val="00957C44"/>
    <w:rsid w:val="00960CB5"/>
    <w:rsid w:val="009617C3"/>
    <w:rsid w:val="009626E8"/>
    <w:rsid w:val="0096341C"/>
    <w:rsid w:val="00967683"/>
    <w:rsid w:val="009721DC"/>
    <w:rsid w:val="009769D2"/>
    <w:rsid w:val="00977382"/>
    <w:rsid w:val="009809E5"/>
    <w:rsid w:val="00984DDA"/>
    <w:rsid w:val="00985191"/>
    <w:rsid w:val="009863DC"/>
    <w:rsid w:val="009905FC"/>
    <w:rsid w:val="00994B84"/>
    <w:rsid w:val="009950EC"/>
    <w:rsid w:val="00996332"/>
    <w:rsid w:val="00996733"/>
    <w:rsid w:val="0099737C"/>
    <w:rsid w:val="009A0415"/>
    <w:rsid w:val="009A2A1B"/>
    <w:rsid w:val="009A3E10"/>
    <w:rsid w:val="009A5406"/>
    <w:rsid w:val="009B0DF6"/>
    <w:rsid w:val="009B1F8E"/>
    <w:rsid w:val="009B2996"/>
    <w:rsid w:val="009C5A41"/>
    <w:rsid w:val="009D6EEC"/>
    <w:rsid w:val="009D7A7F"/>
    <w:rsid w:val="009E00BD"/>
    <w:rsid w:val="009E08E9"/>
    <w:rsid w:val="009E4410"/>
    <w:rsid w:val="009F0135"/>
    <w:rsid w:val="009F0566"/>
    <w:rsid w:val="009F2814"/>
    <w:rsid w:val="009F5FCF"/>
    <w:rsid w:val="00A01148"/>
    <w:rsid w:val="00A03C6A"/>
    <w:rsid w:val="00A0540A"/>
    <w:rsid w:val="00A058E8"/>
    <w:rsid w:val="00A05A41"/>
    <w:rsid w:val="00A0697A"/>
    <w:rsid w:val="00A07C71"/>
    <w:rsid w:val="00A1004A"/>
    <w:rsid w:val="00A12CD7"/>
    <w:rsid w:val="00A15D7A"/>
    <w:rsid w:val="00A178E3"/>
    <w:rsid w:val="00A2470C"/>
    <w:rsid w:val="00A24E35"/>
    <w:rsid w:val="00A259CA"/>
    <w:rsid w:val="00A37328"/>
    <w:rsid w:val="00A47F92"/>
    <w:rsid w:val="00A53A63"/>
    <w:rsid w:val="00A570C4"/>
    <w:rsid w:val="00A600AF"/>
    <w:rsid w:val="00A619ED"/>
    <w:rsid w:val="00A62022"/>
    <w:rsid w:val="00A73AF7"/>
    <w:rsid w:val="00A73DA3"/>
    <w:rsid w:val="00A7529C"/>
    <w:rsid w:val="00A77531"/>
    <w:rsid w:val="00A815AA"/>
    <w:rsid w:val="00A87723"/>
    <w:rsid w:val="00A90686"/>
    <w:rsid w:val="00A91868"/>
    <w:rsid w:val="00A92765"/>
    <w:rsid w:val="00A939F5"/>
    <w:rsid w:val="00A94368"/>
    <w:rsid w:val="00A9733B"/>
    <w:rsid w:val="00AA0235"/>
    <w:rsid w:val="00AA0EE5"/>
    <w:rsid w:val="00AA73A6"/>
    <w:rsid w:val="00AB26BC"/>
    <w:rsid w:val="00AC06A7"/>
    <w:rsid w:val="00AC3DDE"/>
    <w:rsid w:val="00AC56DA"/>
    <w:rsid w:val="00AC644E"/>
    <w:rsid w:val="00AC6559"/>
    <w:rsid w:val="00AD13FB"/>
    <w:rsid w:val="00AD4496"/>
    <w:rsid w:val="00AD4994"/>
    <w:rsid w:val="00AD5B07"/>
    <w:rsid w:val="00AE10A5"/>
    <w:rsid w:val="00AE6031"/>
    <w:rsid w:val="00AF2D56"/>
    <w:rsid w:val="00B01743"/>
    <w:rsid w:val="00B06A37"/>
    <w:rsid w:val="00B126E8"/>
    <w:rsid w:val="00B127A4"/>
    <w:rsid w:val="00B13704"/>
    <w:rsid w:val="00B14DD6"/>
    <w:rsid w:val="00B203D1"/>
    <w:rsid w:val="00B216D8"/>
    <w:rsid w:val="00B21CE4"/>
    <w:rsid w:val="00B22ADC"/>
    <w:rsid w:val="00B2424E"/>
    <w:rsid w:val="00B31C7E"/>
    <w:rsid w:val="00B34373"/>
    <w:rsid w:val="00B34528"/>
    <w:rsid w:val="00B358E5"/>
    <w:rsid w:val="00B37378"/>
    <w:rsid w:val="00B46466"/>
    <w:rsid w:val="00B47BD2"/>
    <w:rsid w:val="00B51A48"/>
    <w:rsid w:val="00B521EC"/>
    <w:rsid w:val="00B55CC8"/>
    <w:rsid w:val="00B60556"/>
    <w:rsid w:val="00B6215F"/>
    <w:rsid w:val="00B66D1E"/>
    <w:rsid w:val="00B6741A"/>
    <w:rsid w:val="00B674E6"/>
    <w:rsid w:val="00B67E29"/>
    <w:rsid w:val="00B73EA6"/>
    <w:rsid w:val="00B73F60"/>
    <w:rsid w:val="00B75D34"/>
    <w:rsid w:val="00B76CB6"/>
    <w:rsid w:val="00B81403"/>
    <w:rsid w:val="00B823C7"/>
    <w:rsid w:val="00B83755"/>
    <w:rsid w:val="00B86A8E"/>
    <w:rsid w:val="00B90384"/>
    <w:rsid w:val="00B924A1"/>
    <w:rsid w:val="00B97326"/>
    <w:rsid w:val="00B977DB"/>
    <w:rsid w:val="00BA0AE8"/>
    <w:rsid w:val="00BA213F"/>
    <w:rsid w:val="00BA38CA"/>
    <w:rsid w:val="00BA5560"/>
    <w:rsid w:val="00BA5C96"/>
    <w:rsid w:val="00BA6247"/>
    <w:rsid w:val="00BB3080"/>
    <w:rsid w:val="00BB36C8"/>
    <w:rsid w:val="00BB5783"/>
    <w:rsid w:val="00BC6432"/>
    <w:rsid w:val="00BC6B5A"/>
    <w:rsid w:val="00BD4197"/>
    <w:rsid w:val="00BD66E5"/>
    <w:rsid w:val="00BD6EEC"/>
    <w:rsid w:val="00BE0F9D"/>
    <w:rsid w:val="00BE32EB"/>
    <w:rsid w:val="00BE55FE"/>
    <w:rsid w:val="00BF1B43"/>
    <w:rsid w:val="00BF315D"/>
    <w:rsid w:val="00BF57DA"/>
    <w:rsid w:val="00C020E3"/>
    <w:rsid w:val="00C03717"/>
    <w:rsid w:val="00C03DDF"/>
    <w:rsid w:val="00C050CE"/>
    <w:rsid w:val="00C1101B"/>
    <w:rsid w:val="00C14327"/>
    <w:rsid w:val="00C1541E"/>
    <w:rsid w:val="00C15993"/>
    <w:rsid w:val="00C15BDB"/>
    <w:rsid w:val="00C21854"/>
    <w:rsid w:val="00C23883"/>
    <w:rsid w:val="00C333C6"/>
    <w:rsid w:val="00C354F3"/>
    <w:rsid w:val="00C35AA7"/>
    <w:rsid w:val="00C4082D"/>
    <w:rsid w:val="00C40C05"/>
    <w:rsid w:val="00C41BED"/>
    <w:rsid w:val="00C4211E"/>
    <w:rsid w:val="00C42B1A"/>
    <w:rsid w:val="00C42D6E"/>
    <w:rsid w:val="00C45842"/>
    <w:rsid w:val="00C45913"/>
    <w:rsid w:val="00C5078B"/>
    <w:rsid w:val="00C512C9"/>
    <w:rsid w:val="00C51AB8"/>
    <w:rsid w:val="00C53108"/>
    <w:rsid w:val="00C53C40"/>
    <w:rsid w:val="00C54DEB"/>
    <w:rsid w:val="00C550FA"/>
    <w:rsid w:val="00C56A53"/>
    <w:rsid w:val="00C60F0C"/>
    <w:rsid w:val="00C71BE5"/>
    <w:rsid w:val="00C743DE"/>
    <w:rsid w:val="00C80EE4"/>
    <w:rsid w:val="00C82DD2"/>
    <w:rsid w:val="00C85F37"/>
    <w:rsid w:val="00C8707D"/>
    <w:rsid w:val="00C91E57"/>
    <w:rsid w:val="00C921B6"/>
    <w:rsid w:val="00C96B46"/>
    <w:rsid w:val="00CA2C08"/>
    <w:rsid w:val="00CA52C8"/>
    <w:rsid w:val="00CA618F"/>
    <w:rsid w:val="00CA6ECE"/>
    <w:rsid w:val="00CB04AB"/>
    <w:rsid w:val="00CB4A24"/>
    <w:rsid w:val="00CB6379"/>
    <w:rsid w:val="00CB7C8F"/>
    <w:rsid w:val="00CC1573"/>
    <w:rsid w:val="00CC192B"/>
    <w:rsid w:val="00CC47EB"/>
    <w:rsid w:val="00CC5FC7"/>
    <w:rsid w:val="00CC7947"/>
    <w:rsid w:val="00CD0506"/>
    <w:rsid w:val="00CD0EA8"/>
    <w:rsid w:val="00CD1BE4"/>
    <w:rsid w:val="00CD6A46"/>
    <w:rsid w:val="00CD6C40"/>
    <w:rsid w:val="00CE0759"/>
    <w:rsid w:val="00CE0883"/>
    <w:rsid w:val="00CE5EF5"/>
    <w:rsid w:val="00CE6B40"/>
    <w:rsid w:val="00CF2A59"/>
    <w:rsid w:val="00CF2D3A"/>
    <w:rsid w:val="00CF596C"/>
    <w:rsid w:val="00CF7024"/>
    <w:rsid w:val="00D01AAD"/>
    <w:rsid w:val="00D04525"/>
    <w:rsid w:val="00D079F8"/>
    <w:rsid w:val="00D15668"/>
    <w:rsid w:val="00D16C44"/>
    <w:rsid w:val="00D236FF"/>
    <w:rsid w:val="00D46CAF"/>
    <w:rsid w:val="00D4729F"/>
    <w:rsid w:val="00D50D71"/>
    <w:rsid w:val="00D560C7"/>
    <w:rsid w:val="00D56D3F"/>
    <w:rsid w:val="00D57E75"/>
    <w:rsid w:val="00D657AD"/>
    <w:rsid w:val="00D71476"/>
    <w:rsid w:val="00D747B4"/>
    <w:rsid w:val="00D76408"/>
    <w:rsid w:val="00D829E0"/>
    <w:rsid w:val="00D834E2"/>
    <w:rsid w:val="00D8521E"/>
    <w:rsid w:val="00D85F63"/>
    <w:rsid w:val="00D87D36"/>
    <w:rsid w:val="00D93C8B"/>
    <w:rsid w:val="00D94177"/>
    <w:rsid w:val="00D944E7"/>
    <w:rsid w:val="00D94515"/>
    <w:rsid w:val="00D94B5D"/>
    <w:rsid w:val="00D9539C"/>
    <w:rsid w:val="00D95C74"/>
    <w:rsid w:val="00D964E7"/>
    <w:rsid w:val="00D96C47"/>
    <w:rsid w:val="00D96E41"/>
    <w:rsid w:val="00DA0D4D"/>
    <w:rsid w:val="00DA1F52"/>
    <w:rsid w:val="00DA2A60"/>
    <w:rsid w:val="00DA554D"/>
    <w:rsid w:val="00DA7329"/>
    <w:rsid w:val="00DB463C"/>
    <w:rsid w:val="00DB49E1"/>
    <w:rsid w:val="00DB68BB"/>
    <w:rsid w:val="00DB6ABE"/>
    <w:rsid w:val="00DC0276"/>
    <w:rsid w:val="00DC0400"/>
    <w:rsid w:val="00DC4648"/>
    <w:rsid w:val="00DC5DF7"/>
    <w:rsid w:val="00DC7D53"/>
    <w:rsid w:val="00DD2488"/>
    <w:rsid w:val="00DE2469"/>
    <w:rsid w:val="00DE766A"/>
    <w:rsid w:val="00DF3FBD"/>
    <w:rsid w:val="00E03766"/>
    <w:rsid w:val="00E057D8"/>
    <w:rsid w:val="00E1001A"/>
    <w:rsid w:val="00E10B0A"/>
    <w:rsid w:val="00E13CE1"/>
    <w:rsid w:val="00E21016"/>
    <w:rsid w:val="00E21EDD"/>
    <w:rsid w:val="00E34BB3"/>
    <w:rsid w:val="00E37E47"/>
    <w:rsid w:val="00E41032"/>
    <w:rsid w:val="00E4216B"/>
    <w:rsid w:val="00E43E86"/>
    <w:rsid w:val="00E44E63"/>
    <w:rsid w:val="00E47790"/>
    <w:rsid w:val="00E478B7"/>
    <w:rsid w:val="00E5157B"/>
    <w:rsid w:val="00E5447F"/>
    <w:rsid w:val="00E54612"/>
    <w:rsid w:val="00E61101"/>
    <w:rsid w:val="00E6165E"/>
    <w:rsid w:val="00E662E8"/>
    <w:rsid w:val="00E67C4D"/>
    <w:rsid w:val="00E7532A"/>
    <w:rsid w:val="00E81AE5"/>
    <w:rsid w:val="00E82744"/>
    <w:rsid w:val="00E82FCD"/>
    <w:rsid w:val="00E861A3"/>
    <w:rsid w:val="00E86B03"/>
    <w:rsid w:val="00E90E42"/>
    <w:rsid w:val="00E910F0"/>
    <w:rsid w:val="00E91A85"/>
    <w:rsid w:val="00E9201C"/>
    <w:rsid w:val="00EB0EA6"/>
    <w:rsid w:val="00EB0F07"/>
    <w:rsid w:val="00EB0FFF"/>
    <w:rsid w:val="00EB3854"/>
    <w:rsid w:val="00EB448C"/>
    <w:rsid w:val="00EC0324"/>
    <w:rsid w:val="00EC2FBC"/>
    <w:rsid w:val="00EC4D7F"/>
    <w:rsid w:val="00EC7518"/>
    <w:rsid w:val="00EC7E22"/>
    <w:rsid w:val="00ED258A"/>
    <w:rsid w:val="00ED4B77"/>
    <w:rsid w:val="00ED636E"/>
    <w:rsid w:val="00EE0105"/>
    <w:rsid w:val="00EE02A0"/>
    <w:rsid w:val="00EE06C9"/>
    <w:rsid w:val="00EE135F"/>
    <w:rsid w:val="00EE1632"/>
    <w:rsid w:val="00EE27ED"/>
    <w:rsid w:val="00EE76A0"/>
    <w:rsid w:val="00EE7C1B"/>
    <w:rsid w:val="00EF1159"/>
    <w:rsid w:val="00EF2D6E"/>
    <w:rsid w:val="00EF322D"/>
    <w:rsid w:val="00EF4161"/>
    <w:rsid w:val="00F00565"/>
    <w:rsid w:val="00F013DA"/>
    <w:rsid w:val="00F030EE"/>
    <w:rsid w:val="00F03495"/>
    <w:rsid w:val="00F04947"/>
    <w:rsid w:val="00F06AE9"/>
    <w:rsid w:val="00F117FB"/>
    <w:rsid w:val="00F1382C"/>
    <w:rsid w:val="00F13A58"/>
    <w:rsid w:val="00F167CC"/>
    <w:rsid w:val="00F212C8"/>
    <w:rsid w:val="00F2346B"/>
    <w:rsid w:val="00F237EB"/>
    <w:rsid w:val="00F31BA3"/>
    <w:rsid w:val="00F347E2"/>
    <w:rsid w:val="00F370DF"/>
    <w:rsid w:val="00F40AB6"/>
    <w:rsid w:val="00F4517C"/>
    <w:rsid w:val="00F47016"/>
    <w:rsid w:val="00F47B01"/>
    <w:rsid w:val="00F5122E"/>
    <w:rsid w:val="00F52460"/>
    <w:rsid w:val="00F5717C"/>
    <w:rsid w:val="00F57A79"/>
    <w:rsid w:val="00F61D38"/>
    <w:rsid w:val="00F61FE5"/>
    <w:rsid w:val="00F63462"/>
    <w:rsid w:val="00F70C28"/>
    <w:rsid w:val="00F733FA"/>
    <w:rsid w:val="00F7464B"/>
    <w:rsid w:val="00F77B9E"/>
    <w:rsid w:val="00F81BFA"/>
    <w:rsid w:val="00F83D11"/>
    <w:rsid w:val="00F841E8"/>
    <w:rsid w:val="00F8541B"/>
    <w:rsid w:val="00F86C66"/>
    <w:rsid w:val="00F950A6"/>
    <w:rsid w:val="00FA0EF8"/>
    <w:rsid w:val="00FA26FE"/>
    <w:rsid w:val="00FA32AD"/>
    <w:rsid w:val="00FB1AFE"/>
    <w:rsid w:val="00FB2753"/>
    <w:rsid w:val="00FB5AC1"/>
    <w:rsid w:val="00FB6A95"/>
    <w:rsid w:val="00FC041F"/>
    <w:rsid w:val="00FC2874"/>
    <w:rsid w:val="00FC46D3"/>
    <w:rsid w:val="00FC7100"/>
    <w:rsid w:val="00FC799C"/>
    <w:rsid w:val="00FD08AC"/>
    <w:rsid w:val="00FD0903"/>
    <w:rsid w:val="00FD2941"/>
    <w:rsid w:val="00FD4AE4"/>
    <w:rsid w:val="00FD4B90"/>
    <w:rsid w:val="00FD5149"/>
    <w:rsid w:val="00FD649B"/>
    <w:rsid w:val="00FD683C"/>
    <w:rsid w:val="00FD7449"/>
    <w:rsid w:val="00FE16BE"/>
    <w:rsid w:val="00FE29FE"/>
    <w:rsid w:val="00FE5495"/>
    <w:rsid w:val="00FE614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1FBD"/>
  </w:style>
  <w:style w:type="paragraph" w:styleId="Virsraksts1">
    <w:name w:val="heading 1"/>
    <w:basedOn w:val="Parasts"/>
    <w:next w:val="Parasts"/>
    <w:link w:val="Virsraksts1Rakstz"/>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Virsraksts2">
    <w:name w:val="heading 2"/>
    <w:basedOn w:val="Parasts"/>
    <w:next w:val="Parasts"/>
    <w:link w:val="Virsraksts2Rakstz"/>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Virsraksti,2,Saistīto dokumentu saraksts,Syle 1,Numurets,PPS_Bullet,List Paragraph1,H&amp;P List Paragraph,Strip,Colorful List - Accent 12,Normal bullet 2,Bullet list,1st level - Bullet List Paragraph,Heading 2_sj,Lijstaline"/>
    <w:basedOn w:val="Parasts"/>
    <w:link w:val="SarakstarindkopaRakstz"/>
    <w:uiPriority w:val="34"/>
    <w:qFormat/>
    <w:rsid w:val="001B293F"/>
    <w:pPr>
      <w:ind w:left="720"/>
      <w:contextualSpacing/>
    </w:pPr>
  </w:style>
  <w:style w:type="character" w:styleId="Komentraatsauce">
    <w:name w:val="annotation reference"/>
    <w:basedOn w:val="Noklusjumarindkopasfonts"/>
    <w:uiPriority w:val="99"/>
    <w:unhideWhenUsed/>
    <w:rsid w:val="008165F8"/>
    <w:rPr>
      <w:sz w:val="16"/>
      <w:szCs w:val="16"/>
    </w:rPr>
  </w:style>
  <w:style w:type="paragraph" w:styleId="Komentrateksts">
    <w:name w:val="annotation text"/>
    <w:basedOn w:val="Parasts"/>
    <w:link w:val="KomentratekstsRakstz"/>
    <w:uiPriority w:val="99"/>
    <w:unhideWhenUsed/>
    <w:rsid w:val="008165F8"/>
    <w:rPr>
      <w:sz w:val="20"/>
      <w:szCs w:val="20"/>
    </w:rPr>
  </w:style>
  <w:style w:type="character" w:customStyle="1" w:styleId="KomentratekstsRakstz">
    <w:name w:val="Komentāra teksts Rakstz."/>
    <w:basedOn w:val="Noklusjumarindkopasfonts"/>
    <w:link w:val="Komentrateksts"/>
    <w:uiPriority w:val="99"/>
    <w:rsid w:val="008165F8"/>
    <w:rPr>
      <w:sz w:val="20"/>
      <w:szCs w:val="20"/>
    </w:rPr>
  </w:style>
  <w:style w:type="paragraph" w:styleId="Komentratma">
    <w:name w:val="annotation subject"/>
    <w:basedOn w:val="Komentrateksts"/>
    <w:next w:val="Komentrateksts"/>
    <w:link w:val="KomentratmaRakstz"/>
    <w:uiPriority w:val="99"/>
    <w:semiHidden/>
    <w:unhideWhenUsed/>
    <w:rsid w:val="008165F8"/>
    <w:rPr>
      <w:b/>
      <w:bCs/>
    </w:rPr>
  </w:style>
  <w:style w:type="character" w:customStyle="1" w:styleId="KomentratmaRakstz">
    <w:name w:val="Komentāra tēma Rakstz."/>
    <w:basedOn w:val="KomentratekstsRakstz"/>
    <w:link w:val="Komentratma"/>
    <w:uiPriority w:val="99"/>
    <w:semiHidden/>
    <w:rsid w:val="008165F8"/>
    <w:rPr>
      <w:b/>
      <w:bCs/>
      <w:sz w:val="20"/>
      <w:szCs w:val="20"/>
    </w:rPr>
  </w:style>
  <w:style w:type="paragraph" w:styleId="Balonteksts">
    <w:name w:val="Balloon Text"/>
    <w:basedOn w:val="Parasts"/>
    <w:link w:val="BalontekstsRakstz"/>
    <w:uiPriority w:val="99"/>
    <w:semiHidden/>
    <w:unhideWhenUsed/>
    <w:rsid w:val="008165F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5F8"/>
    <w:rPr>
      <w:rFonts w:ascii="Tahoma" w:hAnsi="Tahoma" w:cs="Tahoma"/>
      <w:sz w:val="16"/>
      <w:szCs w:val="16"/>
    </w:rPr>
  </w:style>
  <w:style w:type="paragraph" w:styleId="Galvene">
    <w:name w:val="header"/>
    <w:basedOn w:val="Parasts"/>
    <w:link w:val="GalveneRakstz"/>
    <w:uiPriority w:val="99"/>
    <w:unhideWhenUsed/>
    <w:rsid w:val="00183526"/>
    <w:pPr>
      <w:tabs>
        <w:tab w:val="center" w:pos="4153"/>
        <w:tab w:val="right" w:pos="8306"/>
      </w:tabs>
    </w:pPr>
  </w:style>
  <w:style w:type="character" w:customStyle="1" w:styleId="GalveneRakstz">
    <w:name w:val="Galvene Rakstz."/>
    <w:basedOn w:val="Noklusjumarindkopasfonts"/>
    <w:link w:val="Galvene"/>
    <w:uiPriority w:val="99"/>
    <w:rsid w:val="00183526"/>
  </w:style>
  <w:style w:type="paragraph" w:styleId="Kjene">
    <w:name w:val="footer"/>
    <w:basedOn w:val="Parasts"/>
    <w:link w:val="KjeneRakstz"/>
    <w:uiPriority w:val="99"/>
    <w:unhideWhenUsed/>
    <w:rsid w:val="00183526"/>
    <w:pPr>
      <w:tabs>
        <w:tab w:val="center" w:pos="4153"/>
        <w:tab w:val="right" w:pos="8306"/>
      </w:tabs>
    </w:pPr>
  </w:style>
  <w:style w:type="character" w:customStyle="1" w:styleId="KjeneRakstz">
    <w:name w:val="Kājene Rakstz."/>
    <w:basedOn w:val="Noklusjumarindkopasfonts"/>
    <w:link w:val="Kjene"/>
    <w:uiPriority w:val="99"/>
    <w:rsid w:val="00183526"/>
  </w:style>
  <w:style w:type="character" w:styleId="Izclums">
    <w:name w:val="Emphasis"/>
    <w:basedOn w:val="Noklusjumarindkopasfonts"/>
    <w:uiPriority w:val="20"/>
    <w:qFormat/>
    <w:rsid w:val="00B73EA6"/>
    <w:rPr>
      <w:b/>
      <w:bCs/>
      <w:i w:val="0"/>
      <w:iCs w:val="0"/>
    </w:rPr>
  </w:style>
  <w:style w:type="paragraph" w:styleId="Prskatjums">
    <w:name w:val="Revision"/>
    <w:hidden/>
    <w:uiPriority w:val="99"/>
    <w:semiHidden/>
    <w:rsid w:val="00EE27ED"/>
  </w:style>
  <w:style w:type="character" w:styleId="Hipersaite">
    <w:name w:val="Hyperlink"/>
    <w:basedOn w:val="Noklusjumarindkopasfonts"/>
    <w:uiPriority w:val="99"/>
    <w:unhideWhenUsed/>
    <w:rsid w:val="00486BEC"/>
    <w:rPr>
      <w:color w:val="0000FF" w:themeColor="hyperlink"/>
      <w:u w:val="single"/>
    </w:rPr>
  </w:style>
  <w:style w:type="paragraph" w:styleId="Vresteksts">
    <w:name w:val="footnote text"/>
    <w:aliases w:val="Footnote,Fußnote"/>
    <w:basedOn w:val="Parasts"/>
    <w:link w:val="VrestekstsRakstz"/>
    <w:uiPriority w:val="99"/>
    <w:unhideWhenUsed/>
    <w:rsid w:val="000F4217"/>
    <w:rPr>
      <w:sz w:val="20"/>
      <w:szCs w:val="20"/>
    </w:rPr>
  </w:style>
  <w:style w:type="character" w:customStyle="1" w:styleId="VrestekstsRakstz">
    <w:name w:val="Vēres teksts Rakstz."/>
    <w:aliases w:val="Footnote Rakstz.,Fußnote Rakstz."/>
    <w:basedOn w:val="Noklusjumarindkopasfonts"/>
    <w:link w:val="Vresteksts"/>
    <w:uiPriority w:val="99"/>
    <w:rsid w:val="000F4217"/>
    <w:rPr>
      <w:sz w:val="20"/>
      <w:szCs w:val="20"/>
    </w:rPr>
  </w:style>
  <w:style w:type="character" w:styleId="Vresatsauce">
    <w:name w:val="footnote reference"/>
    <w:aliases w:val="Footnote symbol"/>
    <w:basedOn w:val="Noklusjumarindkopasfonts"/>
    <w:uiPriority w:val="99"/>
    <w:unhideWhenUsed/>
    <w:rsid w:val="000F4217"/>
    <w:rPr>
      <w:vertAlign w:val="superscript"/>
    </w:rPr>
  </w:style>
  <w:style w:type="paragraph" w:styleId="Nosaukums">
    <w:name w:val="Title"/>
    <w:basedOn w:val="Parasts"/>
    <w:link w:val="NosaukumsRakstz"/>
    <w:qFormat/>
    <w:rsid w:val="00F2346B"/>
    <w:pPr>
      <w:jc w:val="center"/>
    </w:pPr>
    <w:rPr>
      <w:rFonts w:eastAsia="Times New Roman" w:cs="Times New Roman"/>
      <w:b/>
      <w:sz w:val="32"/>
      <w:szCs w:val="20"/>
    </w:rPr>
  </w:style>
  <w:style w:type="character" w:customStyle="1" w:styleId="NosaukumsRakstz">
    <w:name w:val="Nosaukums Rakstz."/>
    <w:basedOn w:val="Noklusjumarindkopasfonts"/>
    <w:link w:val="Nosaukums"/>
    <w:rsid w:val="00F2346B"/>
    <w:rPr>
      <w:rFonts w:eastAsia="Times New Roman" w:cs="Times New Roman"/>
      <w:b/>
      <w:sz w:val="32"/>
      <w:szCs w:val="20"/>
    </w:rPr>
  </w:style>
  <w:style w:type="character" w:customStyle="1" w:styleId="SarakstarindkopaRakstz">
    <w:name w:val="Saraksta rindkopa Rakstz."/>
    <w:aliases w:val="Virsraksti Rakstz.,2 Rakstz.,Saistīto dokumentu saraksts Rakstz.,Syle 1 Rakstz.,Numurets Rakstz.,PPS_Bullet Rakstz.,List Paragraph1 Rakstz.,H&amp;P List Paragraph Rakstz.,Strip Rakstz.,Colorful List - Accent 12 Rakstz."/>
    <w:link w:val="Sarakstarindkopa"/>
    <w:uiPriority w:val="34"/>
    <w:qFormat/>
    <w:rsid w:val="00361DFE"/>
  </w:style>
  <w:style w:type="paragraph" w:styleId="Pamatteksts2">
    <w:name w:val="Body Text 2"/>
    <w:basedOn w:val="Parasts"/>
    <w:link w:val="Pamatteksts2Rakstz"/>
    <w:rsid w:val="003B3847"/>
    <w:pPr>
      <w:jc w:val="both"/>
    </w:pPr>
    <w:rPr>
      <w:rFonts w:eastAsia="Times New Roman" w:cs="Times New Roman"/>
      <w:sz w:val="28"/>
      <w:szCs w:val="20"/>
    </w:rPr>
  </w:style>
  <w:style w:type="character" w:customStyle="1" w:styleId="Pamatteksts2Rakstz">
    <w:name w:val="Pamatteksts 2 Rakstz."/>
    <w:basedOn w:val="Noklusjumarindkopasfonts"/>
    <w:link w:val="Pamatteksts2"/>
    <w:rsid w:val="003B3847"/>
    <w:rPr>
      <w:rFonts w:eastAsia="Times New Roman" w:cs="Times New Roman"/>
      <w:sz w:val="28"/>
      <w:szCs w:val="20"/>
    </w:rPr>
  </w:style>
  <w:style w:type="character" w:customStyle="1" w:styleId="Virsraksts1Rakstz">
    <w:name w:val="Virsraksts 1 Rakstz."/>
    <w:basedOn w:val="Noklusjumarindkopasfonts"/>
    <w:link w:val="Virsraksts1"/>
    <w:uiPriority w:val="99"/>
    <w:rsid w:val="006B1729"/>
    <w:rPr>
      <w:rFonts w:eastAsia="Times New Roman" w:cs="Times New Roman"/>
      <w:b/>
      <w:sz w:val="32"/>
      <w:szCs w:val="24"/>
    </w:rPr>
  </w:style>
  <w:style w:type="character" w:customStyle="1" w:styleId="Virsraksts2Rakstz">
    <w:name w:val="Virsraksts 2 Rakstz."/>
    <w:basedOn w:val="Noklusjumarindkopasfonts"/>
    <w:link w:val="Virsraksts2"/>
    <w:uiPriority w:val="99"/>
    <w:rsid w:val="006B1729"/>
    <w:rPr>
      <w:rFonts w:eastAsia="Times New Roman" w:cs="Times New Roman"/>
      <w:b/>
      <w:szCs w:val="24"/>
    </w:rPr>
  </w:style>
  <w:style w:type="character" w:styleId="Neatrisintapieminana">
    <w:name w:val="Unresolved Mention"/>
    <w:basedOn w:val="Noklusjumarindkopasfonts"/>
    <w:uiPriority w:val="99"/>
    <w:semiHidden/>
    <w:unhideWhenUsed/>
    <w:rsid w:val="00C60F0C"/>
    <w:rPr>
      <w:color w:val="605E5C"/>
      <w:shd w:val="clear" w:color="auto" w:fill="E1DFDD"/>
    </w:rPr>
  </w:style>
  <w:style w:type="character" w:styleId="Izmantotahipersaite">
    <w:name w:val="FollowedHyperlink"/>
    <w:basedOn w:val="Noklusjumarindkopasfonts"/>
    <w:uiPriority w:val="99"/>
    <w:semiHidden/>
    <w:unhideWhenUsed/>
    <w:rsid w:val="0023453C"/>
    <w:rPr>
      <w:color w:val="800080" w:themeColor="followedHyperlink"/>
      <w:u w:val="single"/>
    </w:rPr>
  </w:style>
  <w:style w:type="paragraph" w:customStyle="1" w:styleId="Default">
    <w:name w:val="Default"/>
    <w:rsid w:val="0058370D"/>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in/data/rms_f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8DD9BF4938366E4DB22A54DCAA7F5A92" ma:contentTypeVersion="0" ma:contentTypeDescription="Izveidot jaunu dokumentu." ma:contentTypeScope="" ma:versionID="875415da2e07b86553b59dc8731ccfb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DE972A8D-7D9B-47B2-AFEF-4A851B4E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2050</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Elija Astreiko</cp:lastModifiedBy>
  <cp:revision>4</cp:revision>
  <dcterms:created xsi:type="dcterms:W3CDTF">2025-08-06T15:16:00Z</dcterms:created>
  <dcterms:modified xsi:type="dcterms:W3CDTF">2025-08-07T05:21:00Z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0x0101008DD9BF4938366E4DB22A54DCAA7F5A92</vt:lpwstr>
  </property>
</Properties>
</file>