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78E" w:rsidRPr="00285F5F" w:rsidRDefault="00275DC6">
      <w:pPr>
        <w:pStyle w:val="Paraststmeklis"/>
        <w:spacing w:before="0" w:after="0"/>
        <w:jc w:val="center"/>
        <w:rPr>
          <w:sz w:val="26"/>
          <w:szCs w:val="26"/>
        </w:rPr>
      </w:pPr>
      <w:r w:rsidRPr="00285F5F">
        <w:rPr>
          <w:noProof/>
          <w:sz w:val="26"/>
          <w:szCs w:val="26"/>
          <w:lang w:val="lv-LV"/>
        </w:rPr>
        <w:drawing>
          <wp:anchor distT="0" distB="0" distL="114300" distR="114300" simplePos="0" relativeHeight="251658240" behindDoc="0" locked="0" layoutInCell="1" allowOverlap="1" wp14:anchorId="01070165" wp14:editId="04CD357E">
            <wp:simplePos x="0" y="0"/>
            <wp:positionH relativeFrom="page">
              <wp:posOffset>463680</wp:posOffset>
            </wp:positionH>
            <wp:positionV relativeFrom="page">
              <wp:posOffset>101520</wp:posOffset>
            </wp:positionV>
            <wp:extent cx="918719" cy="346680"/>
            <wp:effectExtent l="0" t="0" r="0" b="0"/>
            <wp:wrapTopAndBottom/>
            <wp:docPr id="1" name="Picture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18719" cy="346680"/>
                    </a:xfrm>
                    <a:prstGeom prst="rect">
                      <a:avLst/>
                    </a:prstGeom>
                    <a:ln>
                      <a:noFill/>
                      <a:prstDash/>
                    </a:ln>
                  </pic:spPr>
                </pic:pic>
              </a:graphicData>
            </a:graphic>
          </wp:anchor>
        </w:drawing>
      </w:r>
      <w:r w:rsidRPr="00285F5F">
        <w:rPr>
          <w:b/>
          <w:sz w:val="26"/>
          <w:szCs w:val="26"/>
        </w:rPr>
        <w:t>LĪGUMS PAR MONITORINGA SISTĒMAS NODROŠINĀŠANU NR.</w:t>
      </w:r>
    </w:p>
    <w:p w:rsidR="001C278E" w:rsidRPr="00285F5F" w:rsidRDefault="001C278E">
      <w:pPr>
        <w:pStyle w:val="Standard"/>
        <w:jc w:val="both"/>
        <w:rPr>
          <w:rFonts w:cs="Times New Roman"/>
          <w:b/>
          <w:sz w:val="26"/>
          <w:szCs w:val="26"/>
        </w:rPr>
      </w:pPr>
    </w:p>
    <w:p w:rsidR="001C278E" w:rsidRPr="00285F5F" w:rsidRDefault="001C278E">
      <w:pPr>
        <w:pStyle w:val="Standard"/>
        <w:jc w:val="both"/>
        <w:rPr>
          <w:rFonts w:cs="Times New Roman"/>
          <w:b/>
          <w:sz w:val="26"/>
          <w:szCs w:val="26"/>
        </w:rPr>
      </w:pPr>
    </w:p>
    <w:p w:rsidR="001C278E" w:rsidRPr="00000502" w:rsidRDefault="00275DC6">
      <w:pPr>
        <w:pStyle w:val="Standard"/>
        <w:tabs>
          <w:tab w:val="left" w:pos="5812"/>
        </w:tabs>
        <w:jc w:val="both"/>
        <w:rPr>
          <w:rFonts w:cs="Times New Roman"/>
        </w:rPr>
      </w:pPr>
      <w:r w:rsidRPr="00000502">
        <w:rPr>
          <w:rFonts w:cs="Times New Roman"/>
        </w:rPr>
        <w:t>Rīgā</w:t>
      </w:r>
    </w:p>
    <w:p w:rsidR="001C278E" w:rsidRPr="00000502" w:rsidRDefault="00275DC6">
      <w:pPr>
        <w:pStyle w:val="Standard"/>
        <w:tabs>
          <w:tab w:val="left" w:pos="5812"/>
        </w:tabs>
        <w:jc w:val="both"/>
        <w:rPr>
          <w:rFonts w:cs="Times New Roman"/>
        </w:rPr>
      </w:pPr>
      <w:r w:rsidRPr="00000502">
        <w:rPr>
          <w:rFonts w:cs="Times New Roman"/>
        </w:rPr>
        <w:t>2018. gada 4. aprīl</w:t>
      </w:r>
      <w:r w:rsidR="00E65A79" w:rsidRPr="00000502">
        <w:rPr>
          <w:rFonts w:cs="Times New Roman"/>
        </w:rPr>
        <w:t>ī</w:t>
      </w:r>
    </w:p>
    <w:p w:rsidR="001C278E" w:rsidRPr="00000502" w:rsidRDefault="001C278E">
      <w:pPr>
        <w:pStyle w:val="Standard"/>
        <w:tabs>
          <w:tab w:val="left" w:pos="8100"/>
        </w:tabs>
        <w:jc w:val="both"/>
        <w:rPr>
          <w:rFonts w:cs="Times New Roman"/>
          <w:b/>
        </w:rPr>
      </w:pPr>
    </w:p>
    <w:p w:rsidR="001C278E" w:rsidRPr="00000502" w:rsidRDefault="00275DC6">
      <w:pPr>
        <w:pStyle w:val="Pamatteksts2"/>
        <w:rPr>
          <w:rFonts w:ascii="Times New Roman" w:hAnsi="Times New Roman" w:cs="Times New Roman"/>
          <w:sz w:val="24"/>
        </w:rPr>
      </w:pPr>
      <w:r w:rsidRPr="00000502">
        <w:rPr>
          <w:rFonts w:ascii="Times New Roman" w:hAnsi="Times New Roman" w:cs="Times New Roman"/>
          <w:b/>
          <w:sz w:val="24"/>
        </w:rPr>
        <w:t>SIA “Mapon”</w:t>
      </w:r>
      <w:r w:rsidRPr="00000502">
        <w:rPr>
          <w:rFonts w:ascii="Times New Roman" w:hAnsi="Times New Roman" w:cs="Times New Roman"/>
          <w:sz w:val="24"/>
        </w:rPr>
        <w:t xml:space="preserve">, reģistrācijas Nr. </w:t>
      </w:r>
      <w:r w:rsidRPr="00000502">
        <w:rPr>
          <w:rFonts w:ascii="Times New Roman" w:hAnsi="Times New Roman" w:cs="Times New Roman"/>
          <w:color w:val="000000"/>
          <w:sz w:val="24"/>
        </w:rPr>
        <w:t>40003800531</w:t>
      </w:r>
      <w:r w:rsidRPr="00000502">
        <w:rPr>
          <w:rFonts w:ascii="Times New Roman" w:hAnsi="Times New Roman" w:cs="Times New Roman"/>
          <w:sz w:val="24"/>
        </w:rPr>
        <w:t>, kuras vārdā saskaņā ar sabiedrības statūtiem rīkojas tās valdes locek</w:t>
      </w:r>
      <w:r w:rsidR="002E56D6">
        <w:rPr>
          <w:rFonts w:ascii="Times New Roman" w:hAnsi="Times New Roman" w:cs="Times New Roman"/>
          <w:sz w:val="24"/>
        </w:rPr>
        <w:t>ļi</w:t>
      </w:r>
      <w:r w:rsidRPr="00000502">
        <w:rPr>
          <w:rFonts w:ascii="Times New Roman" w:hAnsi="Times New Roman" w:cs="Times New Roman"/>
          <w:sz w:val="24"/>
        </w:rPr>
        <w:t xml:space="preserve"> </w:t>
      </w:r>
      <w:r w:rsidR="001A780A">
        <w:rPr>
          <w:rFonts w:ascii="Times New Roman" w:hAnsi="Times New Roman" w:cs="Times New Roman"/>
          <w:sz w:val="24"/>
        </w:rPr>
        <w:t>_____________</w:t>
      </w:r>
      <w:r w:rsidRPr="00000502">
        <w:rPr>
          <w:rFonts w:ascii="Times New Roman" w:hAnsi="Times New Roman" w:cs="Times New Roman"/>
          <w:sz w:val="24"/>
        </w:rPr>
        <w:t xml:space="preserve"> (turpmāk tekstā – </w:t>
      </w:r>
      <w:r w:rsidRPr="00000502">
        <w:rPr>
          <w:rFonts w:ascii="Times New Roman" w:hAnsi="Times New Roman" w:cs="Times New Roman"/>
          <w:b/>
          <w:sz w:val="24"/>
        </w:rPr>
        <w:t>Izpildītājs</w:t>
      </w:r>
      <w:r w:rsidRPr="00000502">
        <w:rPr>
          <w:rFonts w:ascii="Times New Roman" w:hAnsi="Times New Roman" w:cs="Times New Roman"/>
          <w:sz w:val="24"/>
        </w:rPr>
        <w:t>), no vienas puses</w:t>
      </w:r>
      <w:bookmarkStart w:id="0" w:name="OLE_LINK1"/>
      <w:bookmarkStart w:id="1" w:name="OLE_LINK2"/>
      <w:r w:rsidRPr="00000502">
        <w:rPr>
          <w:rFonts w:ascii="Times New Roman" w:hAnsi="Times New Roman" w:cs="Times New Roman"/>
          <w:sz w:val="24"/>
        </w:rPr>
        <w:t xml:space="preserve"> un</w:t>
      </w:r>
    </w:p>
    <w:bookmarkEnd w:id="0"/>
    <w:bookmarkEnd w:id="1"/>
    <w:p w:rsidR="001C278E" w:rsidRPr="00000502" w:rsidRDefault="00491565">
      <w:pPr>
        <w:pStyle w:val="Paraststmeklis"/>
        <w:spacing w:after="0"/>
        <w:jc w:val="both"/>
        <w:rPr>
          <w:lang w:val="de-DE"/>
        </w:rPr>
      </w:pPr>
      <w:r w:rsidRPr="00000502">
        <w:rPr>
          <w:b/>
          <w:lang w:val="de-DE"/>
        </w:rPr>
        <w:t>Rīgas pašvaldības policija</w:t>
      </w:r>
      <w:r w:rsidR="008F53CE" w:rsidRPr="00000502">
        <w:rPr>
          <w:lang w:val="de-DE"/>
        </w:rPr>
        <w:t xml:space="preserve">, tās priekšnieka Jura Lūkass personā, kurš rīkojas saskaņā ar Rīgas domes 2011.gada 1.marta saistošo noteikumu Nr.114 “Rīgas pilsētas pašvaldības nolikums” 110.punktu un Rīgas domes 2003.gada 1.jūlija nolikumu Nr.75 “Rīgas pašvaldības policijas nolikums” </w:t>
      </w:r>
      <w:r w:rsidR="00275DC6" w:rsidRPr="00000502">
        <w:rPr>
          <w:lang w:val="de-DE"/>
        </w:rPr>
        <w:t xml:space="preserve">(turpmāk tekstā – </w:t>
      </w:r>
      <w:r w:rsidR="00275DC6" w:rsidRPr="00000502">
        <w:rPr>
          <w:b/>
          <w:bCs/>
          <w:lang w:val="de-DE"/>
        </w:rPr>
        <w:t>Klients</w:t>
      </w:r>
      <w:r w:rsidR="00275DC6" w:rsidRPr="00000502">
        <w:rPr>
          <w:lang w:val="de-DE"/>
        </w:rPr>
        <w:t>), no otras puses,</w:t>
      </w:r>
    </w:p>
    <w:p w:rsidR="001C278E" w:rsidRPr="00000502" w:rsidRDefault="001C278E">
      <w:pPr>
        <w:pStyle w:val="Pamatteksts2"/>
        <w:rPr>
          <w:rFonts w:ascii="Times New Roman" w:hAnsi="Times New Roman" w:cs="Times New Roman"/>
          <w:sz w:val="24"/>
        </w:rPr>
      </w:pPr>
    </w:p>
    <w:p w:rsidR="001C278E" w:rsidRPr="00000502" w:rsidRDefault="00275DC6">
      <w:pPr>
        <w:pStyle w:val="Pamatteksts2"/>
        <w:rPr>
          <w:rFonts w:ascii="Times New Roman" w:hAnsi="Times New Roman" w:cs="Times New Roman"/>
          <w:sz w:val="24"/>
        </w:rPr>
      </w:pPr>
      <w:r w:rsidRPr="00000502">
        <w:rPr>
          <w:rFonts w:ascii="Times New Roman" w:hAnsi="Times New Roman" w:cs="Times New Roman"/>
          <w:sz w:val="24"/>
        </w:rPr>
        <w:t xml:space="preserve">katrs atsevišķi saukts – </w:t>
      </w:r>
      <w:r w:rsidRPr="00000502">
        <w:rPr>
          <w:rFonts w:ascii="Times New Roman" w:hAnsi="Times New Roman" w:cs="Times New Roman"/>
          <w:b/>
          <w:sz w:val="24"/>
        </w:rPr>
        <w:t>Puse</w:t>
      </w:r>
      <w:r w:rsidRPr="00000502">
        <w:rPr>
          <w:rFonts w:ascii="Times New Roman" w:hAnsi="Times New Roman" w:cs="Times New Roman"/>
          <w:sz w:val="24"/>
        </w:rPr>
        <w:t xml:space="preserve">, bet abas kopā – </w:t>
      </w:r>
      <w:r w:rsidRPr="00000502">
        <w:rPr>
          <w:rFonts w:ascii="Times New Roman" w:hAnsi="Times New Roman" w:cs="Times New Roman"/>
          <w:b/>
          <w:sz w:val="24"/>
        </w:rPr>
        <w:t>Puses</w:t>
      </w:r>
      <w:r w:rsidRPr="00000502">
        <w:rPr>
          <w:rFonts w:ascii="Times New Roman" w:hAnsi="Times New Roman" w:cs="Times New Roman"/>
          <w:sz w:val="24"/>
        </w:rPr>
        <w:t xml:space="preserve">, noslēdz šādu līgumu, kas kopā ar grozījumiem un pielikumiem turpmāk tekstā saukts </w:t>
      </w:r>
      <w:r w:rsidRPr="00000502">
        <w:rPr>
          <w:rFonts w:ascii="Times New Roman" w:hAnsi="Times New Roman" w:cs="Times New Roman"/>
          <w:b/>
          <w:sz w:val="24"/>
        </w:rPr>
        <w:t>Līgums</w:t>
      </w:r>
      <w:r w:rsidRPr="00000502">
        <w:rPr>
          <w:rFonts w:ascii="Times New Roman" w:hAnsi="Times New Roman" w:cs="Times New Roman"/>
          <w:sz w:val="24"/>
        </w:rPr>
        <w:t>:</w:t>
      </w:r>
    </w:p>
    <w:p w:rsidR="001C278E" w:rsidRPr="00000502" w:rsidRDefault="001C278E">
      <w:pPr>
        <w:pStyle w:val="Standard"/>
        <w:jc w:val="both"/>
        <w:rPr>
          <w:rFonts w:cs="Times New Roman"/>
        </w:rPr>
      </w:pPr>
    </w:p>
    <w:p w:rsidR="001C278E" w:rsidRPr="00000502" w:rsidRDefault="00275DC6">
      <w:pPr>
        <w:pStyle w:val="Standard"/>
        <w:jc w:val="both"/>
        <w:rPr>
          <w:rFonts w:cs="Times New Roman"/>
        </w:rPr>
      </w:pPr>
      <w:r w:rsidRPr="00000502">
        <w:rPr>
          <w:rFonts w:cs="Times New Roman"/>
        </w:rPr>
        <w:t>Līgumā tiek lietotas definīcijas šādā nozīmē:</w:t>
      </w:r>
    </w:p>
    <w:p w:rsidR="001C278E" w:rsidRPr="00000502" w:rsidRDefault="00275DC6">
      <w:pPr>
        <w:pStyle w:val="Standard"/>
        <w:jc w:val="both"/>
        <w:rPr>
          <w:rFonts w:cs="Times New Roman"/>
        </w:rPr>
      </w:pPr>
      <w:r w:rsidRPr="00000502">
        <w:rPr>
          <w:rFonts w:cs="Times New Roman"/>
          <w:b/>
        </w:rPr>
        <w:t>Abonēšanas maksa</w:t>
      </w:r>
      <w:r w:rsidRPr="00000502">
        <w:rPr>
          <w:rFonts w:cs="Times New Roman"/>
        </w:rPr>
        <w:t xml:space="preserve"> – Cenrādī noteikta ikmēneša maksa, ko Klients maksā Izpildītājam kā atlīdzību par Monitoringa sistēmas lietošanu. Abonēšanas maksa tiek noteikta un aprēķināta par katru Transportlīdzekli, kurā ir uzstādīta Aparatūra;</w:t>
      </w:r>
    </w:p>
    <w:p w:rsidR="001C278E" w:rsidRPr="00000502" w:rsidRDefault="00275DC6">
      <w:pPr>
        <w:pStyle w:val="Textbody"/>
        <w:rPr>
          <w:rFonts w:ascii="Times New Roman" w:hAnsi="Times New Roman" w:cs="Times New Roman"/>
          <w:sz w:val="24"/>
          <w:szCs w:val="24"/>
        </w:rPr>
      </w:pPr>
      <w:r w:rsidRPr="00000502">
        <w:rPr>
          <w:rFonts w:ascii="Times New Roman" w:hAnsi="Times New Roman" w:cs="Times New Roman"/>
          <w:b/>
          <w:color w:val="000000"/>
          <w:sz w:val="24"/>
          <w:szCs w:val="24"/>
          <w:lang w:val="lv-LV"/>
        </w:rPr>
        <w:t xml:space="preserve">Aparatūra </w:t>
      </w:r>
      <w:r w:rsidRPr="00000502">
        <w:rPr>
          <w:rFonts w:ascii="Times New Roman" w:hAnsi="Times New Roman" w:cs="Times New Roman"/>
          <w:color w:val="000000"/>
          <w:sz w:val="24"/>
          <w:szCs w:val="24"/>
          <w:lang w:val="lv-LV"/>
        </w:rPr>
        <w:t>– izsekošanas iekārta, kas nodod datus Monitoringa sistēmai;</w:t>
      </w:r>
    </w:p>
    <w:p w:rsidR="001C278E" w:rsidRPr="00000502" w:rsidRDefault="00275DC6">
      <w:pPr>
        <w:pStyle w:val="Standard"/>
        <w:jc w:val="both"/>
        <w:rPr>
          <w:rFonts w:cs="Times New Roman"/>
        </w:rPr>
      </w:pPr>
      <w:r w:rsidRPr="00000502">
        <w:rPr>
          <w:rFonts w:cs="Times New Roman"/>
          <w:b/>
        </w:rPr>
        <w:t xml:space="preserve">Cenrādis </w:t>
      </w:r>
      <w:r w:rsidRPr="00000502">
        <w:rPr>
          <w:rFonts w:cs="Times New Roman"/>
        </w:rPr>
        <w:t>– Līguma Pielikums Nr.1, kurā noteikta Aparatūras nomas cena, Abonēšanas maksa un citi Pusēm saistoši maksājumi un noteikumi;</w:t>
      </w:r>
    </w:p>
    <w:p w:rsidR="001C278E" w:rsidRPr="00000502" w:rsidRDefault="00275DC6">
      <w:pPr>
        <w:pStyle w:val="Standard"/>
        <w:jc w:val="both"/>
        <w:rPr>
          <w:rFonts w:cs="Times New Roman"/>
        </w:rPr>
      </w:pPr>
      <w:r w:rsidRPr="00000502">
        <w:rPr>
          <w:rFonts w:cs="Times New Roman"/>
          <w:b/>
        </w:rPr>
        <w:t>Izsekošanas pakalpojumi</w:t>
      </w:r>
      <w:r w:rsidRPr="00000502">
        <w:rPr>
          <w:rFonts w:cs="Times New Roman"/>
        </w:rPr>
        <w:t xml:space="preserve"> – Aparatūras noma, uzstādīšana un </w:t>
      </w:r>
      <w:r w:rsidRPr="00000502">
        <w:rPr>
          <w:rFonts w:cs="Times New Roman"/>
          <w:color w:val="000000"/>
        </w:rPr>
        <w:t xml:space="preserve">apkalpošana; </w:t>
      </w:r>
      <w:r w:rsidRPr="00000502">
        <w:rPr>
          <w:rFonts w:cs="Times New Roman"/>
        </w:rPr>
        <w:t>Monitoringa sistēmas un Aparatūras darbības nodrošināšana; citi Klienta un Izpildītāja savstarpēji rakstiski saskaņoti papildus iespējamie pakalpojumi;</w:t>
      </w:r>
    </w:p>
    <w:p w:rsidR="001C278E" w:rsidRPr="00000502" w:rsidRDefault="00275DC6">
      <w:pPr>
        <w:pStyle w:val="Standard"/>
        <w:jc w:val="both"/>
        <w:rPr>
          <w:rFonts w:cs="Times New Roman"/>
        </w:rPr>
      </w:pPr>
      <w:r w:rsidRPr="00000502">
        <w:rPr>
          <w:rFonts w:cs="Times New Roman"/>
          <w:b/>
          <w:color w:val="000000"/>
        </w:rPr>
        <w:t xml:space="preserve">Monitoringa sistēma </w:t>
      </w:r>
      <w:r w:rsidRPr="00000502">
        <w:rPr>
          <w:rFonts w:cs="Times New Roman"/>
          <w:color w:val="000000"/>
        </w:rPr>
        <w:t>– Izpildītāja izstrādāta un Interneta vietnē bāzēta autoparka vadības (monitoringa) sistēma, kurā Klients var saņemt informāciju par Transportlīdzekļiem, kuros uzstādīta Aparatūra;</w:t>
      </w:r>
    </w:p>
    <w:p w:rsidR="001C278E" w:rsidRPr="00000502" w:rsidRDefault="00275DC6">
      <w:pPr>
        <w:pStyle w:val="Standard"/>
        <w:jc w:val="both"/>
        <w:rPr>
          <w:rFonts w:cs="Times New Roman"/>
          <w:color w:val="000000" w:themeColor="text1"/>
        </w:rPr>
      </w:pPr>
      <w:r w:rsidRPr="00000502">
        <w:rPr>
          <w:rFonts w:cs="Times New Roman"/>
          <w:b/>
        </w:rPr>
        <w:t>Transportlīdzeklis</w:t>
      </w:r>
      <w:r w:rsidRPr="00000502">
        <w:rPr>
          <w:rFonts w:cs="Times New Roman"/>
        </w:rPr>
        <w:t xml:space="preserve"> – Klienta īpašumā, valdījuma vai turējumā esošs transporta līdzeklis</w:t>
      </w:r>
      <w:r w:rsidR="00491565" w:rsidRPr="00000502">
        <w:rPr>
          <w:rFonts w:cs="Times New Roman"/>
        </w:rPr>
        <w:t xml:space="preserve">, </w:t>
      </w:r>
      <w:r w:rsidR="00491565" w:rsidRPr="00000502">
        <w:rPr>
          <w:rFonts w:cs="Times New Roman"/>
          <w:color w:val="000000" w:themeColor="text1"/>
        </w:rPr>
        <w:t>peldlīdzeklis vai mototransports;</w:t>
      </w:r>
    </w:p>
    <w:p w:rsidR="00491565" w:rsidRPr="00000502" w:rsidRDefault="00491565">
      <w:pPr>
        <w:pStyle w:val="Standard"/>
        <w:jc w:val="both"/>
        <w:rPr>
          <w:rFonts w:cs="Times New Roman"/>
          <w:color w:val="000000" w:themeColor="text1"/>
        </w:rPr>
      </w:pPr>
      <w:r w:rsidRPr="00000502">
        <w:rPr>
          <w:rFonts w:cs="Times New Roman"/>
          <w:color w:val="000000" w:themeColor="text1"/>
        </w:rPr>
        <w:t>Radiostacija – Klienta īpašumā esošas radiostacija</w:t>
      </w:r>
      <w:r w:rsidR="004A1523" w:rsidRPr="00000502">
        <w:rPr>
          <w:rFonts w:cs="Times New Roman"/>
          <w:color w:val="000000" w:themeColor="text1"/>
        </w:rPr>
        <w:t>.</w:t>
      </w:r>
    </w:p>
    <w:p w:rsidR="001C278E" w:rsidRPr="00000502" w:rsidRDefault="001C278E">
      <w:pPr>
        <w:pStyle w:val="Standard"/>
        <w:jc w:val="both"/>
        <w:rPr>
          <w:rFonts w:cs="Times New Roman"/>
          <w:b/>
        </w:rPr>
      </w:pPr>
    </w:p>
    <w:p w:rsidR="001C278E" w:rsidRPr="00000502" w:rsidRDefault="00275DC6">
      <w:pPr>
        <w:pStyle w:val="Standard"/>
        <w:tabs>
          <w:tab w:val="left" w:pos="567"/>
        </w:tabs>
        <w:jc w:val="both"/>
        <w:rPr>
          <w:rFonts w:cs="Times New Roman"/>
          <w:b/>
          <w:color w:val="000000" w:themeColor="text1"/>
        </w:rPr>
      </w:pPr>
      <w:r w:rsidRPr="00000502">
        <w:rPr>
          <w:rFonts w:cs="Times New Roman"/>
          <w:color w:val="000000" w:themeColor="text1"/>
        </w:rPr>
        <w:t>1</w:t>
      </w:r>
      <w:r w:rsidRPr="00000502">
        <w:rPr>
          <w:rFonts w:cs="Times New Roman"/>
          <w:b/>
          <w:color w:val="000000" w:themeColor="text1"/>
        </w:rPr>
        <w:t xml:space="preserve">. </w:t>
      </w:r>
      <w:r w:rsidRPr="00000502">
        <w:rPr>
          <w:rFonts w:cs="Times New Roman"/>
          <w:b/>
          <w:color w:val="000000" w:themeColor="text1"/>
        </w:rPr>
        <w:tab/>
        <w:t>LĪGUMA PRIEKŠMETS</w:t>
      </w:r>
    </w:p>
    <w:p w:rsidR="001C278E" w:rsidRPr="00000502" w:rsidRDefault="00275DC6">
      <w:pPr>
        <w:pStyle w:val="Textbody"/>
        <w:numPr>
          <w:ilvl w:val="1"/>
          <w:numId w:val="1"/>
        </w:numPr>
        <w:ind w:left="567" w:hanging="567"/>
        <w:rPr>
          <w:rFonts w:ascii="Times New Roman" w:hAnsi="Times New Roman" w:cs="Times New Roman"/>
          <w:color w:val="000000" w:themeColor="text1"/>
          <w:sz w:val="24"/>
          <w:szCs w:val="24"/>
          <w:lang w:val="lv-LV"/>
        </w:rPr>
      </w:pPr>
      <w:r w:rsidRPr="00000502">
        <w:rPr>
          <w:rFonts w:ascii="Times New Roman" w:hAnsi="Times New Roman" w:cs="Times New Roman"/>
          <w:color w:val="000000" w:themeColor="text1"/>
          <w:sz w:val="24"/>
          <w:szCs w:val="24"/>
          <w:lang w:val="lv-LV"/>
        </w:rPr>
        <w:t>Klients pasūta un Izpildītājs nodrošina Klientam Izsekošanas pakalpojumus</w:t>
      </w:r>
      <w:r w:rsidR="004A1523" w:rsidRPr="00000502">
        <w:rPr>
          <w:rFonts w:ascii="Times New Roman" w:hAnsi="Times New Roman" w:cs="Times New Roman"/>
          <w:color w:val="000000" w:themeColor="text1"/>
          <w:sz w:val="24"/>
          <w:szCs w:val="24"/>
          <w:lang w:val="lv-LV"/>
        </w:rPr>
        <w:t xml:space="preserve"> Transportlīdzekļiem un Radiostacijām</w:t>
      </w:r>
      <w:r w:rsidRPr="00000502">
        <w:rPr>
          <w:rFonts w:ascii="Times New Roman" w:hAnsi="Times New Roman" w:cs="Times New Roman"/>
          <w:color w:val="000000" w:themeColor="text1"/>
          <w:sz w:val="24"/>
          <w:szCs w:val="24"/>
          <w:lang w:val="lv-LV"/>
        </w:rPr>
        <w:t>, par ko Klients samaksā Izpildītājam Līgumā</w:t>
      </w:r>
      <w:r w:rsidR="0060083A" w:rsidRPr="00000502">
        <w:rPr>
          <w:rFonts w:ascii="Times New Roman" w:hAnsi="Times New Roman" w:cs="Times New Roman"/>
          <w:color w:val="000000" w:themeColor="text1"/>
          <w:sz w:val="24"/>
          <w:szCs w:val="24"/>
          <w:lang w:val="lv-LV"/>
        </w:rPr>
        <w:t xml:space="preserve"> un Finanšu piedāvājumā </w:t>
      </w:r>
      <w:r w:rsidRPr="00000502">
        <w:rPr>
          <w:rFonts w:ascii="Times New Roman" w:hAnsi="Times New Roman" w:cs="Times New Roman"/>
          <w:color w:val="000000" w:themeColor="text1"/>
          <w:sz w:val="24"/>
          <w:szCs w:val="24"/>
          <w:lang w:val="lv-LV"/>
        </w:rPr>
        <w:t xml:space="preserve"> noteiktajā apmērā un kārtībā.</w:t>
      </w:r>
      <w:r w:rsidR="004A1523" w:rsidRPr="00000502">
        <w:rPr>
          <w:rFonts w:ascii="Times New Roman" w:hAnsi="Times New Roman" w:cs="Times New Roman"/>
          <w:color w:val="000000" w:themeColor="text1"/>
          <w:sz w:val="24"/>
          <w:szCs w:val="24"/>
          <w:lang w:val="lv-LV"/>
        </w:rPr>
        <w:t xml:space="preserve"> Citu</w:t>
      </w:r>
      <w:r w:rsidR="0007477B" w:rsidRPr="00000502">
        <w:rPr>
          <w:rFonts w:ascii="Times New Roman" w:hAnsi="Times New Roman" w:cs="Times New Roman"/>
          <w:color w:val="000000" w:themeColor="text1"/>
          <w:sz w:val="24"/>
          <w:szCs w:val="24"/>
          <w:lang w:val="lv-LV"/>
        </w:rPr>
        <w:t>, Tehniskajā specifikācijā minētu pakalpojumu sniegšana</w:t>
      </w:r>
      <w:r w:rsidR="004A1523" w:rsidRPr="00000502">
        <w:rPr>
          <w:rFonts w:ascii="Times New Roman" w:hAnsi="Times New Roman" w:cs="Times New Roman"/>
          <w:color w:val="000000" w:themeColor="text1"/>
          <w:sz w:val="24"/>
          <w:szCs w:val="24"/>
          <w:lang w:val="lv-LV"/>
        </w:rPr>
        <w:t xml:space="preserve"> notiek pēc nepieciešamības saskaņā ar Kl</w:t>
      </w:r>
      <w:r w:rsidR="0060083A" w:rsidRPr="00000502">
        <w:rPr>
          <w:rFonts w:ascii="Times New Roman" w:hAnsi="Times New Roman" w:cs="Times New Roman"/>
          <w:color w:val="000000" w:themeColor="text1"/>
          <w:sz w:val="24"/>
          <w:szCs w:val="24"/>
          <w:lang w:val="lv-LV"/>
        </w:rPr>
        <w:t>ienta pieprasījumu, kuru Klienta kontaktpersona</w:t>
      </w:r>
      <w:r w:rsidR="004A1523" w:rsidRPr="00000502">
        <w:rPr>
          <w:rFonts w:ascii="Times New Roman" w:hAnsi="Times New Roman" w:cs="Times New Roman"/>
          <w:color w:val="000000" w:themeColor="text1"/>
          <w:sz w:val="24"/>
          <w:szCs w:val="24"/>
          <w:lang w:val="lv-LV"/>
        </w:rPr>
        <w:t xml:space="preserve"> nosūta uz Līgumā norādīto Izpildītāja e-pastu.</w:t>
      </w:r>
    </w:p>
    <w:p w:rsidR="001C278E" w:rsidRPr="00000502" w:rsidRDefault="00275DC6">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Monitoringa sistēmā tiek iekļauti dati par katru Transportlīdzekli, kurā ir uzstādīta un aktivizēta Aparatūra</w:t>
      </w:r>
      <w:r w:rsidR="00135F6E" w:rsidRPr="00000502">
        <w:rPr>
          <w:rFonts w:cs="Times New Roman"/>
          <w:color w:val="000000" w:themeColor="text1"/>
        </w:rPr>
        <w:t>, kā arī par</w:t>
      </w:r>
      <w:r w:rsidR="0007477B" w:rsidRPr="00000502">
        <w:rPr>
          <w:rFonts w:cs="Times New Roman"/>
          <w:color w:val="000000" w:themeColor="text1"/>
        </w:rPr>
        <w:t xml:space="preserve"> Klienta</w:t>
      </w:r>
      <w:r w:rsidR="004A1523" w:rsidRPr="00000502">
        <w:rPr>
          <w:rFonts w:cs="Times New Roman"/>
          <w:color w:val="000000" w:themeColor="text1"/>
        </w:rPr>
        <w:t xml:space="preserve"> Radiostacij</w:t>
      </w:r>
      <w:r w:rsidR="0007477B" w:rsidRPr="00000502">
        <w:rPr>
          <w:rFonts w:cs="Times New Roman"/>
          <w:color w:val="000000" w:themeColor="text1"/>
        </w:rPr>
        <w:t>ām</w:t>
      </w:r>
      <w:r w:rsidRPr="00000502">
        <w:rPr>
          <w:rFonts w:cs="Times New Roman"/>
          <w:color w:val="000000" w:themeColor="text1"/>
        </w:rPr>
        <w:t>. Monitoringa sistēmā tiek iekļauti dati par Transportlīdzekļu</w:t>
      </w:r>
      <w:r w:rsidR="004A1523" w:rsidRPr="00000502">
        <w:rPr>
          <w:rFonts w:cs="Times New Roman"/>
          <w:color w:val="000000" w:themeColor="text1"/>
        </w:rPr>
        <w:t xml:space="preserve"> un Radiostaciju</w:t>
      </w:r>
      <w:r w:rsidRPr="00000502">
        <w:rPr>
          <w:rFonts w:cs="Times New Roman"/>
          <w:color w:val="000000" w:themeColor="text1"/>
        </w:rPr>
        <w:t xml:space="preserve"> atrašanās vietas koordinātēm, laikiem, maršrutiem, apstāšanās vietu koordinātēm, kā arī brīdinājuma informācija u.c. dati.</w:t>
      </w:r>
    </w:p>
    <w:p w:rsidR="001C278E" w:rsidRPr="00000502" w:rsidRDefault="00275DC6">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Monitoringa sistēmas pakalpojumi tiek nodrošināti pēc Aparatūras ievietošanas un aktivizēšanas Transportlīdzeklī.</w:t>
      </w:r>
      <w:r w:rsidR="006F1490" w:rsidRPr="00000502">
        <w:rPr>
          <w:rFonts w:cs="Times New Roman"/>
          <w:color w:val="000000" w:themeColor="text1"/>
        </w:rPr>
        <w:t xml:space="preserve"> Klients pats ir atbildīgs par Radiostacijām paredzēt</w:t>
      </w:r>
      <w:r w:rsidR="00135F6E" w:rsidRPr="00000502">
        <w:rPr>
          <w:rFonts w:cs="Times New Roman"/>
          <w:color w:val="000000" w:themeColor="text1"/>
        </w:rPr>
        <w:t>ās</w:t>
      </w:r>
      <w:r w:rsidR="006F1490" w:rsidRPr="00000502">
        <w:rPr>
          <w:rFonts w:cs="Times New Roman"/>
          <w:color w:val="000000" w:themeColor="text1"/>
        </w:rPr>
        <w:t xml:space="preserve"> Aparatūr</w:t>
      </w:r>
      <w:r w:rsidR="00135F6E" w:rsidRPr="00000502">
        <w:rPr>
          <w:rFonts w:cs="Times New Roman"/>
          <w:color w:val="000000" w:themeColor="text1"/>
        </w:rPr>
        <w:t>as</w:t>
      </w:r>
      <w:r w:rsidR="006F1490" w:rsidRPr="00000502">
        <w:rPr>
          <w:rFonts w:cs="Times New Roman"/>
          <w:color w:val="000000" w:themeColor="text1"/>
        </w:rPr>
        <w:t xml:space="preserve"> iegādi un darbību.</w:t>
      </w:r>
      <w:r w:rsidRPr="00000502">
        <w:rPr>
          <w:rFonts w:cs="Times New Roman"/>
          <w:color w:val="000000" w:themeColor="text1"/>
        </w:rPr>
        <w:t xml:space="preserve"> Aparatūra informāciju par konkrēto Transportlīdzekli nosūta uz Monitoringa sistēmu, izmantojot mobilo sakaru operatoru sniegtos pakalpojumus.</w:t>
      </w:r>
    </w:p>
    <w:p w:rsidR="006F1490" w:rsidRPr="00000502" w:rsidRDefault="006F1490">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 xml:space="preserve">Kopējā līguma summa ir EUR </w:t>
      </w:r>
      <w:r w:rsidR="005B730B" w:rsidRPr="00000502">
        <w:rPr>
          <w:rFonts w:cs="Times New Roman"/>
          <w:color w:val="000000" w:themeColor="text1"/>
        </w:rPr>
        <w:t>70247.93</w:t>
      </w:r>
      <w:r w:rsidRPr="00000502">
        <w:rPr>
          <w:rFonts w:cs="Times New Roman"/>
          <w:color w:val="000000" w:themeColor="text1"/>
        </w:rPr>
        <w:t xml:space="preserve"> (</w:t>
      </w:r>
      <w:r w:rsidR="005B730B" w:rsidRPr="00000502">
        <w:rPr>
          <w:rFonts w:cs="Times New Roman"/>
          <w:color w:val="000000" w:themeColor="text1"/>
        </w:rPr>
        <w:t>septiņdesmit tūkstoši divi simti četrdesmit septiņi</w:t>
      </w:r>
      <w:r w:rsidRPr="00000502">
        <w:rPr>
          <w:rFonts w:cs="Times New Roman"/>
          <w:color w:val="000000" w:themeColor="text1"/>
        </w:rPr>
        <w:t xml:space="preserve"> euro</w:t>
      </w:r>
      <w:r w:rsidR="00C80D68" w:rsidRPr="00000502">
        <w:rPr>
          <w:rFonts w:cs="Times New Roman"/>
          <w:color w:val="000000" w:themeColor="text1"/>
        </w:rPr>
        <w:t>,</w:t>
      </w:r>
      <w:r w:rsidRPr="00000502">
        <w:rPr>
          <w:rFonts w:cs="Times New Roman"/>
          <w:color w:val="000000" w:themeColor="text1"/>
        </w:rPr>
        <w:t xml:space="preserve"> </w:t>
      </w:r>
      <w:r w:rsidR="005B730B" w:rsidRPr="00000502">
        <w:rPr>
          <w:rFonts w:cs="Times New Roman"/>
          <w:color w:val="000000" w:themeColor="text1"/>
        </w:rPr>
        <w:t xml:space="preserve">93 </w:t>
      </w:r>
      <w:r w:rsidRPr="00000502">
        <w:rPr>
          <w:rFonts w:cs="Times New Roman"/>
          <w:color w:val="000000" w:themeColor="text1"/>
        </w:rPr>
        <w:t>centi) bez PVN, 21% PVN EUR</w:t>
      </w:r>
      <w:r w:rsidR="00C80D68" w:rsidRPr="00000502">
        <w:rPr>
          <w:rFonts w:cs="Times New Roman"/>
          <w:color w:val="000000" w:themeColor="text1"/>
        </w:rPr>
        <w:t xml:space="preserve"> 14752.07 (četrpadsmit tūkstoši septiņi simti piecdesmit divi euro, 07 centi), kopējā līguma summa ar PVN EUR 85000.00 (astoņdesmit pieci tūkstoši euro, 00 centi).</w:t>
      </w:r>
    </w:p>
    <w:p w:rsidR="001C278E" w:rsidRPr="00000502" w:rsidRDefault="001C278E">
      <w:pPr>
        <w:pStyle w:val="Standard"/>
        <w:jc w:val="both"/>
        <w:rPr>
          <w:rFonts w:cs="Times New Roman"/>
          <w:b/>
          <w:color w:val="000000" w:themeColor="text1"/>
        </w:rPr>
      </w:pPr>
    </w:p>
    <w:p w:rsidR="001C278E" w:rsidRPr="00000502" w:rsidRDefault="00275DC6">
      <w:pPr>
        <w:pStyle w:val="Sarakstarindkopa"/>
        <w:numPr>
          <w:ilvl w:val="0"/>
          <w:numId w:val="1"/>
        </w:numPr>
        <w:tabs>
          <w:tab w:val="left" w:pos="1134"/>
        </w:tabs>
        <w:ind w:left="567" w:hanging="567"/>
        <w:jc w:val="both"/>
        <w:rPr>
          <w:rFonts w:cs="Times New Roman"/>
          <w:b/>
          <w:color w:val="000000" w:themeColor="text1"/>
        </w:rPr>
      </w:pPr>
      <w:r w:rsidRPr="00000502">
        <w:rPr>
          <w:rFonts w:cs="Times New Roman"/>
          <w:b/>
          <w:color w:val="000000" w:themeColor="text1"/>
        </w:rPr>
        <w:t>NORĒĶINU UN PIEGĀDES KĀRTĪBA</w:t>
      </w:r>
    </w:p>
    <w:p w:rsidR="001C278E" w:rsidRPr="00000502" w:rsidRDefault="00275DC6">
      <w:pPr>
        <w:pStyle w:val="Standard"/>
        <w:numPr>
          <w:ilvl w:val="1"/>
          <w:numId w:val="1"/>
        </w:numPr>
        <w:ind w:left="567" w:hanging="567"/>
        <w:jc w:val="both"/>
        <w:rPr>
          <w:rFonts w:cs="Times New Roman"/>
          <w:color w:val="000000" w:themeColor="text1"/>
        </w:rPr>
      </w:pPr>
      <w:r w:rsidRPr="00000502">
        <w:rPr>
          <w:rFonts w:cs="Times New Roman"/>
          <w:color w:val="000000" w:themeColor="text1"/>
        </w:rPr>
        <w:t xml:space="preserve">Maksa par Izsekošanas pakalpojumiem tiek noteikta Cenrādī. Puses vienojas, ka Cenrādī norādītas summas ir eiro (EUR) bez Latvijas Republikā noteiktā pievienotās vērtības nodokļa, kas tiek noteikts vēl papildus atbilstoši Latvijas Republikās spēkā esošajiem normatīvajiem aktiem. Klients visus </w:t>
      </w:r>
      <w:r w:rsidRPr="00000502">
        <w:rPr>
          <w:rFonts w:cs="Times New Roman"/>
          <w:color w:val="000000" w:themeColor="text1"/>
        </w:rPr>
        <w:lastRenderedPageBreak/>
        <w:t>maksājumus Izpildītājam saistībā ar Līgumu veiks ar pārskaitījumu uz Izpildītāja bankas kontu.</w:t>
      </w:r>
    </w:p>
    <w:p w:rsidR="005B6184" w:rsidRPr="00000502" w:rsidRDefault="00275DC6" w:rsidP="005B6184">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Nomas un Abonēšanas maksa tiek aprēķināta par katru Transportlīdzekli</w:t>
      </w:r>
      <w:r w:rsidR="005B6184" w:rsidRPr="00000502">
        <w:rPr>
          <w:rFonts w:cs="Times New Roman"/>
          <w:color w:val="000000" w:themeColor="text1"/>
        </w:rPr>
        <w:t xml:space="preserve"> sākot ar brīdi, kad attiecīgā Aparatūras vienīb</w:t>
      </w:r>
      <w:r w:rsidR="0060083A" w:rsidRPr="00000502">
        <w:rPr>
          <w:rFonts w:cs="Times New Roman"/>
          <w:color w:val="000000" w:themeColor="text1"/>
        </w:rPr>
        <w:t>a ir uzstādīta transportlīdzekļī</w:t>
      </w:r>
      <w:r w:rsidR="005B6184" w:rsidRPr="00000502">
        <w:rPr>
          <w:rFonts w:cs="Times New Roman"/>
          <w:color w:val="000000" w:themeColor="text1"/>
        </w:rPr>
        <w:t>, to darbība ir aktivizēta Monitoringa sistēmā un Puses parakstījušas pieņemšanas – nodošanas aktu. Abonēšanas maksa par katru Radiostaciju tiek aprēķināta sākot ar brīdi, kad attiecīgās Radostacijas darbība ir aktivizēta Monitoringa sistēmā un Puses parakstījušas pieņemšanas – nodošanas aktu.</w:t>
      </w:r>
      <w:r w:rsidRPr="00000502">
        <w:rPr>
          <w:rFonts w:cs="Times New Roman"/>
          <w:color w:val="000000" w:themeColor="text1"/>
        </w:rPr>
        <w:t xml:space="preserve"> Nomas un Abonēšanas maksas apmērs ir noteikts par kalendāro mēnesi un ir norādīts Cenrādī.</w:t>
      </w:r>
      <w:r w:rsidR="005B6184" w:rsidRPr="00000502">
        <w:rPr>
          <w:rFonts w:cs="Times New Roman"/>
          <w:color w:val="000000" w:themeColor="text1"/>
        </w:rPr>
        <w:t xml:space="preserve"> No Klienta puses pieņemšanas – nodošanas aktu ir tiesīgs parakstīt galvenais speciālists inovatīvo tehnoloģiju un risinājumu jautājumos vai viņa pienākumu izpildītājs.</w:t>
      </w:r>
    </w:p>
    <w:p w:rsidR="007F7D15" w:rsidRPr="00000502" w:rsidRDefault="00275DC6" w:rsidP="007F7D15">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 xml:space="preserve">Izpildītājs katru mēnesi līdz 15. (piecpadsmitajam) datumam nosūtīs Klientam rēķinu par Nomas un Abonēšanas </w:t>
      </w:r>
      <w:proofErr w:type="gramStart"/>
      <w:r w:rsidRPr="00000502">
        <w:rPr>
          <w:rFonts w:cs="Times New Roman"/>
          <w:color w:val="000000" w:themeColor="text1"/>
        </w:rPr>
        <w:t>maksu  iepriekšējā</w:t>
      </w:r>
      <w:proofErr w:type="gramEnd"/>
      <w:r w:rsidRPr="00000502">
        <w:rPr>
          <w:rFonts w:cs="Times New Roman"/>
          <w:color w:val="000000" w:themeColor="text1"/>
        </w:rPr>
        <w:t xml:space="preserve"> kalendārajā mēnesī, kā arī c</w:t>
      </w:r>
      <w:r w:rsidR="007F7D15" w:rsidRPr="00000502">
        <w:rPr>
          <w:rFonts w:cs="Times New Roman"/>
          <w:color w:val="000000" w:themeColor="text1"/>
        </w:rPr>
        <w:t>itiem Izsekošanas pakalpojumiem.</w:t>
      </w:r>
    </w:p>
    <w:p w:rsidR="007F7D15" w:rsidRPr="00000502" w:rsidRDefault="007F7D15" w:rsidP="007F7D15">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Klients veic rēķi</w:t>
      </w:r>
      <w:r w:rsidR="00D05C0F" w:rsidRPr="00000502">
        <w:rPr>
          <w:rFonts w:cs="Times New Roman"/>
          <w:color w:val="000000" w:themeColor="text1"/>
        </w:rPr>
        <w:t>n</w:t>
      </w:r>
      <w:r w:rsidRPr="00000502">
        <w:rPr>
          <w:rFonts w:cs="Times New Roman"/>
          <w:color w:val="000000" w:themeColor="text1"/>
        </w:rPr>
        <w:t>a apmaksu 14 (četrpadsmit) dienu laikā no rēķina saņemšanas.</w:t>
      </w:r>
    </w:p>
    <w:p w:rsidR="007F7D15" w:rsidRPr="00000502" w:rsidRDefault="007F7D15" w:rsidP="007F7D15">
      <w:pPr>
        <w:pStyle w:val="Sarakstarindkopa"/>
        <w:numPr>
          <w:ilvl w:val="1"/>
          <w:numId w:val="1"/>
        </w:numPr>
        <w:ind w:left="567" w:hanging="567"/>
        <w:rPr>
          <w:rFonts w:cs="Times New Roman"/>
          <w:color w:val="000000" w:themeColor="text1"/>
          <w:lang w:val="lv-LV"/>
        </w:rPr>
      </w:pPr>
      <w:r w:rsidRPr="00000502">
        <w:rPr>
          <w:rFonts w:cs="Times New Roman"/>
          <w:color w:val="000000" w:themeColor="text1"/>
          <w:lang w:val="lv-LV"/>
        </w:rPr>
        <w:t xml:space="preserve">Izpildītājs rēķina un pieņemšanas – nodošanas akta (ja tāds ir) iesniegšanai izmanto Rīgas pilsētas pašvaldības portālu </w:t>
      </w:r>
      <w:hyperlink r:id="rId9" w:history="1">
        <w:r w:rsidRPr="00000502">
          <w:rPr>
            <w:rStyle w:val="Hipersaite"/>
            <w:rFonts w:cs="Times New Roman"/>
            <w:color w:val="000000" w:themeColor="text1"/>
            <w:lang w:val="lv-LV"/>
          </w:rPr>
          <w:t>www.eriga.lv</w:t>
        </w:r>
      </w:hyperlink>
      <w:r w:rsidRPr="00000502">
        <w:rPr>
          <w:rFonts w:cs="Times New Roman"/>
          <w:color w:val="000000" w:themeColor="text1"/>
          <w:lang w:val="lv-LV"/>
        </w:rPr>
        <w:t xml:space="preserve"> (turpmāk – </w:t>
      </w:r>
      <w:r w:rsidRPr="00000502">
        <w:rPr>
          <w:rFonts w:cs="Times New Roman"/>
          <w:b/>
          <w:color w:val="000000" w:themeColor="text1"/>
          <w:lang w:val="lv-LV"/>
        </w:rPr>
        <w:t>elektroniskais rēķins</w:t>
      </w:r>
      <w:r w:rsidRPr="00000502">
        <w:rPr>
          <w:rFonts w:cs="Times New Roman"/>
          <w:color w:val="000000" w:themeColor="text1"/>
          <w:lang w:val="lv-LV"/>
        </w:rPr>
        <w:t>).</w:t>
      </w:r>
    </w:p>
    <w:p w:rsidR="007F7D15" w:rsidRPr="00000502" w:rsidRDefault="007F7D15" w:rsidP="007F7D15">
      <w:pPr>
        <w:pStyle w:val="Sarakstarindkopa"/>
        <w:numPr>
          <w:ilvl w:val="1"/>
          <w:numId w:val="1"/>
        </w:numPr>
        <w:ind w:left="567" w:hanging="567"/>
        <w:rPr>
          <w:rFonts w:cs="Times New Roman"/>
          <w:color w:val="000000" w:themeColor="text1"/>
          <w:lang w:val="lv-LV"/>
        </w:rPr>
      </w:pPr>
      <w:r w:rsidRPr="00000502">
        <w:rPr>
          <w:rFonts w:cs="Times New Roman"/>
          <w:color w:val="000000" w:themeColor="text1"/>
          <w:lang w:val="lv-LV"/>
        </w:rPr>
        <w:t>Elektroniskā</w:t>
      </w:r>
      <w:r w:rsidR="001D08A0" w:rsidRPr="00000502">
        <w:rPr>
          <w:rFonts w:cs="Times New Roman"/>
          <w:color w:val="000000" w:themeColor="text1"/>
          <w:lang w:val="lv-LV"/>
        </w:rPr>
        <w:t xml:space="preserve"> rēķina iesniegšanai Izpildītājs sagatavo elektronisko rēķinu, atbilstoši Rīgas pilsētas pašvaldības portālā </w:t>
      </w:r>
      <w:hyperlink r:id="rId10" w:history="1">
        <w:r w:rsidR="001D08A0" w:rsidRPr="00000502">
          <w:rPr>
            <w:rStyle w:val="Hipersaite"/>
            <w:rFonts w:cs="Times New Roman"/>
            <w:color w:val="000000" w:themeColor="text1"/>
            <w:lang w:val="lv-LV"/>
          </w:rPr>
          <w:t>www.eriga.lv</w:t>
        </w:r>
      </w:hyperlink>
      <w:r w:rsidR="001D08A0" w:rsidRPr="00000502">
        <w:rPr>
          <w:rFonts w:cs="Times New Roman"/>
          <w:color w:val="000000" w:themeColor="text1"/>
          <w:lang w:val="lv-LV"/>
        </w:rPr>
        <w:t xml:space="preserve"> sadaļā “Rēķinu iesniegšana” norādītajai informācijai par elektroniskā rēķina formātu.</w:t>
      </w:r>
    </w:p>
    <w:p w:rsidR="001D08A0" w:rsidRPr="00000502" w:rsidRDefault="001D08A0" w:rsidP="001D08A0">
      <w:pPr>
        <w:pStyle w:val="Sarakstarindkopa"/>
        <w:numPr>
          <w:ilvl w:val="1"/>
          <w:numId w:val="1"/>
        </w:numPr>
        <w:ind w:left="567" w:hanging="567"/>
        <w:rPr>
          <w:rFonts w:cs="Times New Roman"/>
          <w:color w:val="000000" w:themeColor="text1"/>
          <w:lang w:val="lv-LV"/>
        </w:rPr>
      </w:pPr>
      <w:r w:rsidRPr="00000502">
        <w:rPr>
          <w:rFonts w:cs="Times New Roman"/>
          <w:color w:val="000000" w:themeColor="text1"/>
          <w:lang w:val="lv-LV"/>
        </w:rPr>
        <w:t>Izpildītājs rēķinā norāda:</w:t>
      </w:r>
    </w:p>
    <w:p w:rsidR="00000502" w:rsidRPr="00000502" w:rsidRDefault="00000502" w:rsidP="00000502">
      <w:pPr>
        <w:pStyle w:val="Sarakstarindkopa"/>
        <w:ind w:left="567"/>
        <w:rPr>
          <w:rFonts w:cs="Times New Roman"/>
          <w:color w:val="000000" w:themeColor="text1"/>
          <w:lang w:val="lv-LV"/>
        </w:rPr>
      </w:pPr>
    </w:p>
    <w:p w:rsidR="001D08A0" w:rsidRPr="00000502" w:rsidRDefault="001D08A0" w:rsidP="001D08A0">
      <w:pPr>
        <w:pStyle w:val="Sarakstarindkopa"/>
        <w:rPr>
          <w:rFonts w:cs="Times New Roman"/>
          <w:b/>
          <w:color w:val="000000" w:themeColor="text1"/>
          <w:lang w:val="lv-LV"/>
        </w:rPr>
      </w:pPr>
      <w:r w:rsidRPr="00000502">
        <w:rPr>
          <w:rFonts w:cs="Times New Roman"/>
          <w:b/>
          <w:color w:val="000000" w:themeColor="text1"/>
          <w:lang w:val="lv-LV"/>
        </w:rPr>
        <w:t>Saņēmējs: Rīgas pilsētas pašvaldība;</w:t>
      </w:r>
    </w:p>
    <w:p w:rsidR="001D08A0" w:rsidRPr="00000502" w:rsidRDefault="001D08A0" w:rsidP="001D08A0">
      <w:pPr>
        <w:pStyle w:val="Sarakstarindkopa"/>
        <w:rPr>
          <w:rFonts w:cs="Times New Roman"/>
          <w:b/>
          <w:color w:val="000000" w:themeColor="text1"/>
          <w:lang w:val="lv-LV"/>
        </w:rPr>
      </w:pPr>
      <w:r w:rsidRPr="00000502">
        <w:rPr>
          <w:rFonts w:cs="Times New Roman"/>
          <w:b/>
          <w:color w:val="000000" w:themeColor="text1"/>
          <w:lang w:val="lv-LV"/>
        </w:rPr>
        <w:t>Adrese: Rātslaukums 1, Rīga, LV-1050;</w:t>
      </w:r>
    </w:p>
    <w:p w:rsidR="001D08A0" w:rsidRPr="00000502" w:rsidRDefault="001D08A0" w:rsidP="001D08A0">
      <w:pPr>
        <w:pStyle w:val="Sarakstarindkopa"/>
        <w:rPr>
          <w:rFonts w:cs="Times New Roman"/>
          <w:b/>
          <w:color w:val="000000" w:themeColor="text1"/>
          <w:lang w:val="lv-LV"/>
        </w:rPr>
      </w:pPr>
      <w:r w:rsidRPr="00000502">
        <w:rPr>
          <w:rFonts w:cs="Times New Roman"/>
          <w:b/>
          <w:color w:val="000000" w:themeColor="text1"/>
          <w:lang w:val="lv-LV"/>
        </w:rPr>
        <w:t>NMR kods:90011524360;</w:t>
      </w:r>
    </w:p>
    <w:p w:rsidR="00E8150A" w:rsidRPr="00000502" w:rsidRDefault="001D08A0" w:rsidP="001D08A0">
      <w:pPr>
        <w:pStyle w:val="Sarakstarindkopa"/>
        <w:rPr>
          <w:rFonts w:cs="Times New Roman"/>
          <w:b/>
          <w:color w:val="000000" w:themeColor="text1"/>
          <w:lang w:val="lv-LV"/>
        </w:rPr>
      </w:pPr>
      <w:r w:rsidRPr="00000502">
        <w:rPr>
          <w:rFonts w:cs="Times New Roman"/>
          <w:b/>
          <w:color w:val="000000" w:themeColor="text1"/>
          <w:lang w:val="lv-LV"/>
        </w:rPr>
        <w:t>PVN reģ.Nr.: LV90011524360;</w:t>
      </w:r>
    </w:p>
    <w:p w:rsidR="00E8150A" w:rsidRPr="00000502" w:rsidRDefault="00E8150A" w:rsidP="001D08A0">
      <w:pPr>
        <w:pStyle w:val="Sarakstarindkopa"/>
        <w:rPr>
          <w:rFonts w:cs="Times New Roman"/>
          <w:b/>
          <w:color w:val="000000" w:themeColor="text1"/>
          <w:lang w:val="lv-LV"/>
        </w:rPr>
      </w:pPr>
      <w:r w:rsidRPr="00000502">
        <w:rPr>
          <w:rFonts w:cs="Times New Roman"/>
          <w:b/>
          <w:color w:val="000000" w:themeColor="text1"/>
          <w:lang w:val="lv-LV"/>
        </w:rPr>
        <w:t>Banka: AS “Luminor Bank”;</w:t>
      </w:r>
    </w:p>
    <w:p w:rsidR="00E8150A" w:rsidRPr="00000502" w:rsidRDefault="00E8150A" w:rsidP="001D08A0">
      <w:pPr>
        <w:pStyle w:val="Sarakstarindkopa"/>
        <w:rPr>
          <w:rFonts w:cs="Times New Roman"/>
          <w:b/>
          <w:color w:val="000000" w:themeColor="text1"/>
          <w:lang w:val="lv-LV"/>
        </w:rPr>
      </w:pPr>
      <w:r w:rsidRPr="00000502">
        <w:rPr>
          <w:rFonts w:cs="Times New Roman"/>
          <w:b/>
          <w:color w:val="000000" w:themeColor="text1"/>
          <w:lang w:val="lv-LV"/>
        </w:rPr>
        <w:t>Bankas kods: NDEALV2X;</w:t>
      </w:r>
    </w:p>
    <w:p w:rsidR="001D08A0" w:rsidRPr="00000502" w:rsidRDefault="00E8150A" w:rsidP="001D08A0">
      <w:pPr>
        <w:pStyle w:val="Sarakstarindkopa"/>
        <w:rPr>
          <w:rFonts w:cs="Times New Roman"/>
          <w:b/>
          <w:color w:val="000000" w:themeColor="text1"/>
          <w:lang w:val="lv-LV"/>
        </w:rPr>
      </w:pPr>
      <w:r w:rsidRPr="00000502">
        <w:rPr>
          <w:rFonts w:cs="Times New Roman"/>
          <w:b/>
          <w:color w:val="000000" w:themeColor="text1"/>
          <w:lang w:val="lv-LV"/>
        </w:rPr>
        <w:t>K</w:t>
      </w:r>
      <w:r w:rsidR="00000502" w:rsidRPr="00000502">
        <w:rPr>
          <w:rFonts w:cs="Times New Roman"/>
          <w:b/>
          <w:color w:val="000000" w:themeColor="text1"/>
          <w:lang w:val="lv-LV"/>
        </w:rPr>
        <w:t>onts: LV82NDEA0021800014010</w:t>
      </w:r>
      <w:r w:rsidR="001D08A0" w:rsidRPr="00000502">
        <w:rPr>
          <w:rFonts w:cs="Times New Roman"/>
          <w:b/>
          <w:color w:val="000000" w:themeColor="text1"/>
          <w:lang w:val="lv-LV"/>
        </w:rPr>
        <w:t xml:space="preserve"> </w:t>
      </w:r>
    </w:p>
    <w:p w:rsidR="001D08A0" w:rsidRPr="00000502" w:rsidRDefault="001D08A0" w:rsidP="001D08A0">
      <w:pPr>
        <w:pStyle w:val="Sarakstarindkopa"/>
        <w:rPr>
          <w:rFonts w:cs="Times New Roman"/>
          <w:b/>
          <w:color w:val="000000" w:themeColor="text1"/>
          <w:lang w:val="lv-LV"/>
        </w:rPr>
      </w:pPr>
      <w:r w:rsidRPr="00000502">
        <w:rPr>
          <w:rFonts w:cs="Times New Roman"/>
          <w:b/>
          <w:color w:val="000000" w:themeColor="text1"/>
          <w:lang w:val="lv-LV"/>
        </w:rPr>
        <w:t>RD iestāde: Rīgas pašvaldības policija;</w:t>
      </w:r>
    </w:p>
    <w:p w:rsidR="001D08A0" w:rsidRPr="00000502" w:rsidRDefault="001D08A0" w:rsidP="001D08A0">
      <w:pPr>
        <w:pStyle w:val="Sarakstarindkopa"/>
        <w:rPr>
          <w:rFonts w:cs="Times New Roman"/>
          <w:b/>
          <w:color w:val="000000" w:themeColor="text1"/>
          <w:lang w:val="lv-LV"/>
        </w:rPr>
      </w:pPr>
      <w:r w:rsidRPr="00000502">
        <w:rPr>
          <w:rFonts w:cs="Times New Roman"/>
          <w:b/>
          <w:color w:val="000000" w:themeColor="text1"/>
          <w:lang w:val="lv-LV"/>
        </w:rPr>
        <w:t xml:space="preserve">RD iestādes adrese: Lomonosova iela 12A, Rīga, LV-1019; </w:t>
      </w:r>
    </w:p>
    <w:p w:rsidR="001D08A0" w:rsidRPr="00000502" w:rsidRDefault="001D08A0" w:rsidP="001D08A0">
      <w:pPr>
        <w:pStyle w:val="Sarakstarindkopa"/>
        <w:rPr>
          <w:rFonts w:cs="Times New Roman"/>
          <w:color w:val="000000" w:themeColor="text1"/>
          <w:lang w:val="lv-LV"/>
        </w:rPr>
      </w:pPr>
      <w:r w:rsidRPr="00000502">
        <w:rPr>
          <w:rFonts w:cs="Times New Roman"/>
          <w:b/>
          <w:color w:val="000000" w:themeColor="text1"/>
          <w:lang w:val="lv-LV"/>
        </w:rPr>
        <w:t>RD iestādes kods: 219</w:t>
      </w:r>
    </w:p>
    <w:p w:rsidR="001D08A0" w:rsidRPr="00000502" w:rsidRDefault="001D08A0" w:rsidP="001D08A0">
      <w:pPr>
        <w:pStyle w:val="Sarakstarindkopa"/>
        <w:rPr>
          <w:rFonts w:cs="Times New Roman"/>
          <w:color w:val="000000" w:themeColor="text1"/>
          <w:lang w:val="lv-LV"/>
        </w:rPr>
      </w:pPr>
    </w:p>
    <w:p w:rsidR="001D08A0" w:rsidRPr="00000502" w:rsidRDefault="001D08A0" w:rsidP="00D05C0F">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 xml:space="preserve">Elektroniskos rēķinus apmaksai </w:t>
      </w:r>
      <w:r w:rsidR="00D05C0F" w:rsidRPr="00000502">
        <w:rPr>
          <w:rFonts w:cs="Times New Roman"/>
          <w:color w:val="000000" w:themeColor="text1"/>
        </w:rPr>
        <w:t>Izpildītājs</w:t>
      </w:r>
      <w:r w:rsidRPr="00000502">
        <w:rPr>
          <w:rFonts w:cs="Times New Roman"/>
          <w:color w:val="000000" w:themeColor="text1"/>
        </w:rPr>
        <w:t xml:space="preserve"> iesniedz </w:t>
      </w:r>
      <w:r w:rsidR="00D05C0F" w:rsidRPr="00000502">
        <w:rPr>
          <w:rFonts w:cs="Times New Roman"/>
          <w:color w:val="000000" w:themeColor="text1"/>
        </w:rPr>
        <w:t>Klientam</w:t>
      </w:r>
      <w:r w:rsidRPr="00000502">
        <w:rPr>
          <w:rFonts w:cs="Times New Roman"/>
          <w:color w:val="000000" w:themeColor="text1"/>
        </w:rPr>
        <w:t xml:space="preserve">, </w:t>
      </w:r>
      <w:proofErr w:type="gramStart"/>
      <w:r w:rsidRPr="00000502">
        <w:rPr>
          <w:rFonts w:cs="Times New Roman"/>
          <w:color w:val="000000" w:themeColor="text1"/>
        </w:rPr>
        <w:t>izvēloties  vienu</w:t>
      </w:r>
      <w:proofErr w:type="gramEnd"/>
      <w:r w:rsidRPr="00000502">
        <w:rPr>
          <w:rFonts w:cs="Times New Roman"/>
          <w:color w:val="000000" w:themeColor="text1"/>
        </w:rPr>
        <w:t xml:space="preserve"> no sekojošiem rēķina piegādes veidiem:</w:t>
      </w:r>
    </w:p>
    <w:p w:rsidR="001D08A0" w:rsidRPr="00000502" w:rsidRDefault="00D05C0F" w:rsidP="00D05C0F">
      <w:pPr>
        <w:pStyle w:val="Sarakstarindkopa"/>
        <w:ind w:left="567"/>
        <w:jc w:val="both"/>
        <w:rPr>
          <w:rFonts w:cs="Times New Roman"/>
          <w:color w:val="000000" w:themeColor="text1"/>
        </w:rPr>
      </w:pPr>
      <w:r w:rsidRPr="00000502">
        <w:rPr>
          <w:rFonts w:cs="Times New Roman"/>
          <w:color w:val="000000" w:themeColor="text1"/>
        </w:rPr>
        <w:t>-</w:t>
      </w:r>
      <w:r w:rsidR="001D08A0" w:rsidRPr="00000502">
        <w:rPr>
          <w:rFonts w:cs="Times New Roman"/>
          <w:color w:val="000000" w:themeColor="text1"/>
        </w:rPr>
        <w:t xml:space="preserve">izveido programmatūru datu apmaiņai starp </w:t>
      </w:r>
      <w:r w:rsidRPr="00000502">
        <w:rPr>
          <w:rFonts w:cs="Times New Roman"/>
          <w:color w:val="000000" w:themeColor="text1"/>
        </w:rPr>
        <w:t>Izpildītāja</w:t>
      </w:r>
      <w:r w:rsidR="001D08A0" w:rsidRPr="00000502">
        <w:rPr>
          <w:rFonts w:cs="Times New Roman"/>
          <w:color w:val="000000" w:themeColor="text1"/>
        </w:rPr>
        <w:t xml:space="preserve"> norēķinu sistēmu un pašvaldības vienoto informācijas sistēmu (WEB API);</w:t>
      </w:r>
    </w:p>
    <w:p w:rsidR="001D08A0" w:rsidRPr="00000502" w:rsidRDefault="00D05C0F" w:rsidP="00D05C0F">
      <w:pPr>
        <w:pStyle w:val="Sarakstarindkopa"/>
        <w:ind w:left="567"/>
        <w:jc w:val="both"/>
        <w:rPr>
          <w:rFonts w:cs="Times New Roman"/>
          <w:color w:val="000000" w:themeColor="text1"/>
        </w:rPr>
      </w:pPr>
      <w:r w:rsidRPr="00000502">
        <w:rPr>
          <w:rFonts w:cs="Times New Roman"/>
          <w:color w:val="000000" w:themeColor="text1"/>
        </w:rPr>
        <w:t>-</w:t>
      </w:r>
      <w:r w:rsidR="001D08A0" w:rsidRPr="00000502">
        <w:rPr>
          <w:rFonts w:cs="Times New Roman"/>
          <w:color w:val="000000" w:themeColor="text1"/>
        </w:rPr>
        <w:t>augšupielādē rēķinu failus portālā www.eriga.lv, atbilstoši portālā www.eriga.lv, sadaļā „Rēķinu iesniegšana” norādītajai informācijai par failu augšupielādi XML formātā;</w:t>
      </w:r>
    </w:p>
    <w:p w:rsidR="001D08A0" w:rsidRPr="00000502" w:rsidRDefault="00D05C0F" w:rsidP="00D05C0F">
      <w:pPr>
        <w:pStyle w:val="Sarakstarindkopa"/>
        <w:ind w:left="567"/>
        <w:jc w:val="both"/>
        <w:rPr>
          <w:rFonts w:cs="Times New Roman"/>
          <w:color w:val="000000" w:themeColor="text1"/>
        </w:rPr>
      </w:pPr>
      <w:r w:rsidRPr="00000502">
        <w:rPr>
          <w:rFonts w:cs="Times New Roman"/>
          <w:color w:val="000000" w:themeColor="text1"/>
        </w:rPr>
        <w:t>-</w:t>
      </w:r>
      <w:r w:rsidR="001D08A0" w:rsidRPr="00000502">
        <w:rPr>
          <w:rFonts w:cs="Times New Roman"/>
          <w:color w:val="000000" w:themeColor="text1"/>
        </w:rPr>
        <w:t xml:space="preserve">izmanto manuālu rēķina informācijas ievades Web </w:t>
      </w:r>
      <w:proofErr w:type="gramStart"/>
      <w:r w:rsidR="001D08A0" w:rsidRPr="00000502">
        <w:rPr>
          <w:rFonts w:cs="Times New Roman"/>
          <w:color w:val="000000" w:themeColor="text1"/>
        </w:rPr>
        <w:t>formu  portālā</w:t>
      </w:r>
      <w:proofErr w:type="gramEnd"/>
      <w:r w:rsidR="001D08A0" w:rsidRPr="00000502">
        <w:rPr>
          <w:rFonts w:cs="Times New Roman"/>
          <w:color w:val="000000" w:themeColor="text1"/>
        </w:rPr>
        <w:t xml:space="preserve"> http://www.eriga.lv, sadaļā „Rēķinu iesniegšana”.</w:t>
      </w:r>
    </w:p>
    <w:p w:rsidR="001D08A0" w:rsidRPr="00000502" w:rsidRDefault="001D08A0" w:rsidP="00D05C0F">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Līgumā noteiktā kārtībā iesniegts elektronisks rēķins nodrošina Pusēm elektroniskā rēķina izcelsmes autentiskumu un satura integritāti.</w:t>
      </w:r>
    </w:p>
    <w:p w:rsidR="001D08A0" w:rsidRPr="00000502" w:rsidRDefault="001D08A0" w:rsidP="00D05C0F">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 xml:space="preserve">Puses vienojas, ka elektroniskā rēķina apmaksas termiņu skaita no dienas, kad </w:t>
      </w:r>
      <w:r w:rsidR="00D05C0F" w:rsidRPr="00000502">
        <w:rPr>
          <w:rFonts w:cs="Times New Roman"/>
          <w:color w:val="000000" w:themeColor="text1"/>
        </w:rPr>
        <w:t>Izpildītājs</w:t>
      </w:r>
      <w:r w:rsidRPr="00000502">
        <w:rPr>
          <w:rFonts w:cs="Times New Roman"/>
          <w:color w:val="000000" w:themeColor="text1"/>
        </w:rPr>
        <w:t xml:space="preserve">, atbilstoši pašvaldības portālā www.eriga.lv, sadaļā „Rēķinu iesniegšana” norādītajai informācijai par elektroniskā rēķina formātu, ir iesniedzis </w:t>
      </w:r>
      <w:r w:rsidR="00D05C0F" w:rsidRPr="00000502">
        <w:rPr>
          <w:rFonts w:cs="Times New Roman"/>
          <w:color w:val="000000" w:themeColor="text1"/>
        </w:rPr>
        <w:t>Klientam</w:t>
      </w:r>
      <w:r w:rsidRPr="00000502">
        <w:rPr>
          <w:rFonts w:cs="Times New Roman"/>
          <w:color w:val="000000" w:themeColor="text1"/>
        </w:rPr>
        <w:t xml:space="preserve"> elektronisku rēķinu, ar nosacījumu, ka </w:t>
      </w:r>
      <w:r w:rsidR="00D05C0F" w:rsidRPr="00000502">
        <w:rPr>
          <w:rFonts w:cs="Times New Roman"/>
          <w:color w:val="000000" w:themeColor="text1"/>
        </w:rPr>
        <w:t>Izpildītājs</w:t>
      </w:r>
      <w:r w:rsidRPr="00000502">
        <w:rPr>
          <w:rFonts w:cs="Times New Roman"/>
          <w:color w:val="000000" w:themeColor="text1"/>
        </w:rPr>
        <w:t xml:space="preserve"> ir iesniedzis pareizi, atbilstoši Līguma nosacījumiem, aizpildītu elektronisko rēķinu un </w:t>
      </w:r>
      <w:r w:rsidR="00D05C0F" w:rsidRPr="00000502">
        <w:rPr>
          <w:rFonts w:cs="Times New Roman"/>
          <w:color w:val="000000" w:themeColor="text1"/>
        </w:rPr>
        <w:t>Klients</w:t>
      </w:r>
      <w:r w:rsidRPr="00000502">
        <w:rPr>
          <w:rFonts w:cs="Times New Roman"/>
          <w:color w:val="000000" w:themeColor="text1"/>
        </w:rPr>
        <w:t xml:space="preserve"> to ir pieņēmis apmaksai. </w:t>
      </w:r>
    </w:p>
    <w:p w:rsidR="001D08A0" w:rsidRPr="00000502" w:rsidRDefault="00D05C0F" w:rsidP="00D05C0F">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Izpildītājam</w:t>
      </w:r>
      <w:r w:rsidR="001D08A0" w:rsidRPr="00000502">
        <w:rPr>
          <w:rFonts w:cs="Times New Roman"/>
          <w:color w:val="000000" w:themeColor="text1"/>
        </w:rPr>
        <w:t xml:space="preserve"> ir pienākums pašvaldības portālā www.eriga.lv sekot līdzi iesniegtā elektroniskā rēķina apstrādes statusam.</w:t>
      </w:r>
    </w:p>
    <w:p w:rsidR="001D08A0" w:rsidRPr="00000502" w:rsidRDefault="001D08A0" w:rsidP="00D05C0F">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 xml:space="preserve">Ja </w:t>
      </w:r>
      <w:r w:rsidR="00D05C0F" w:rsidRPr="00000502">
        <w:rPr>
          <w:rFonts w:cs="Times New Roman"/>
          <w:color w:val="000000" w:themeColor="text1"/>
        </w:rPr>
        <w:t>Izpildītājs</w:t>
      </w:r>
      <w:r w:rsidRPr="00000502">
        <w:rPr>
          <w:rFonts w:cs="Times New Roman"/>
          <w:color w:val="000000" w:themeColor="text1"/>
        </w:rPr>
        <w:t xml:space="preserve"> ir iesniedzis nepareizi aizpildītu un/vai Līguma nosacījumiem neatbilstošu elektronisko rēķinu, </w:t>
      </w:r>
      <w:r w:rsidR="00D05C0F" w:rsidRPr="00000502">
        <w:rPr>
          <w:rFonts w:cs="Times New Roman"/>
          <w:color w:val="000000" w:themeColor="text1"/>
        </w:rPr>
        <w:t>Izpildītājs</w:t>
      </w:r>
      <w:r w:rsidRPr="00000502">
        <w:rPr>
          <w:rFonts w:cs="Times New Roman"/>
          <w:color w:val="000000" w:themeColor="text1"/>
        </w:rPr>
        <w:t xml:space="preserve"> šādu rēķinu apmaksai nepieņem un neakceptē. </w:t>
      </w:r>
      <w:r w:rsidR="00D05C0F" w:rsidRPr="00000502">
        <w:rPr>
          <w:rFonts w:cs="Times New Roman"/>
          <w:color w:val="000000" w:themeColor="text1"/>
        </w:rPr>
        <w:t>Izpildītājam</w:t>
      </w:r>
      <w:r w:rsidRPr="00000502">
        <w:rPr>
          <w:rFonts w:cs="Times New Roman"/>
          <w:color w:val="000000" w:themeColor="text1"/>
        </w:rPr>
        <w:t xml:space="preserve"> ir pienākums iesniegt atkārtoti pareizi un Līguma nosacījumiem atbilstoši aizpildītu elektronisko rēķinu. Šādā situācijā, elektroniskā rēķina apmaksas termiņu skaita no dienas, kad </w:t>
      </w:r>
      <w:r w:rsidR="00D05C0F" w:rsidRPr="00000502">
        <w:rPr>
          <w:rFonts w:cs="Times New Roman"/>
          <w:color w:val="000000" w:themeColor="text1"/>
        </w:rPr>
        <w:t>Izpildītājs</w:t>
      </w:r>
      <w:r w:rsidRPr="00000502">
        <w:rPr>
          <w:rFonts w:cs="Times New Roman"/>
          <w:color w:val="000000" w:themeColor="text1"/>
        </w:rPr>
        <w:t xml:space="preserve"> ir iesniedzis atkārtoto elektronisko rēķinu.</w:t>
      </w:r>
    </w:p>
    <w:p w:rsidR="001C278E" w:rsidRPr="00000502" w:rsidRDefault="00275DC6" w:rsidP="007F7D15">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t>Izpildītājs Klienta pasūtītās Aparatūras vienības piegādās</w:t>
      </w:r>
    </w:p>
    <w:p w:rsidR="001C278E" w:rsidRPr="00000502" w:rsidRDefault="00275DC6">
      <w:pPr>
        <w:pStyle w:val="Sarakstarindkopa"/>
        <w:ind w:left="567"/>
        <w:jc w:val="both"/>
        <w:rPr>
          <w:rFonts w:cs="Times New Roman"/>
          <w:color w:val="000000" w:themeColor="text1"/>
        </w:rPr>
      </w:pPr>
      <w:r w:rsidRPr="00000502">
        <w:rPr>
          <w:rFonts w:cs="Times New Roman"/>
          <w:color w:val="000000" w:themeColor="text1"/>
        </w:rPr>
        <w:t>un uzstādīs Klienta juridiskajā adresē Latvijas Republikā vai, Pusēm atsevišķi par to vienojoties, citā vietā.</w:t>
      </w:r>
    </w:p>
    <w:p w:rsidR="001C278E" w:rsidRPr="00000502" w:rsidRDefault="00275DC6">
      <w:pPr>
        <w:pStyle w:val="Sarakstarindkopa"/>
        <w:numPr>
          <w:ilvl w:val="1"/>
          <w:numId w:val="1"/>
        </w:numPr>
        <w:ind w:left="567" w:hanging="567"/>
        <w:jc w:val="both"/>
        <w:rPr>
          <w:rFonts w:cs="Times New Roman"/>
          <w:color w:val="000000" w:themeColor="text1"/>
        </w:rPr>
      </w:pPr>
      <w:r w:rsidRPr="00000502">
        <w:rPr>
          <w:rFonts w:cs="Times New Roman"/>
          <w:color w:val="000000" w:themeColor="text1"/>
        </w:rPr>
        <w:lastRenderedPageBreak/>
        <w:t xml:space="preserve">Katra Aparatūras vienība </w:t>
      </w:r>
      <w:r w:rsidR="003A3CFE" w:rsidRPr="00000502">
        <w:rPr>
          <w:rFonts w:cs="Times New Roman"/>
          <w:color w:val="000000" w:themeColor="text1"/>
        </w:rPr>
        <w:t xml:space="preserve">ar </w:t>
      </w:r>
      <w:r w:rsidRPr="00000502">
        <w:rPr>
          <w:rFonts w:cs="Times New Roman"/>
          <w:color w:val="000000" w:themeColor="text1"/>
        </w:rPr>
        <w:t>attiecīg</w:t>
      </w:r>
      <w:r w:rsidR="003A3CFE" w:rsidRPr="00000502">
        <w:rPr>
          <w:rFonts w:cs="Times New Roman"/>
          <w:color w:val="000000" w:themeColor="text1"/>
        </w:rPr>
        <w:t>u</w:t>
      </w:r>
      <w:r w:rsidRPr="00000502">
        <w:rPr>
          <w:rFonts w:cs="Times New Roman"/>
          <w:color w:val="000000" w:themeColor="text1"/>
        </w:rPr>
        <w:t xml:space="preserve"> SIM kart</w:t>
      </w:r>
      <w:r w:rsidR="003A3CFE" w:rsidRPr="00000502">
        <w:rPr>
          <w:rFonts w:cs="Times New Roman"/>
          <w:color w:val="000000" w:themeColor="text1"/>
        </w:rPr>
        <w:t xml:space="preserve">i </w:t>
      </w:r>
      <w:r w:rsidRPr="00000502">
        <w:rPr>
          <w:rFonts w:cs="Times New Roman"/>
          <w:color w:val="000000" w:themeColor="text1"/>
        </w:rPr>
        <w:t xml:space="preserve">pēc tās uzstādīšanas Transportlīdzeklī un </w:t>
      </w:r>
      <w:r w:rsidR="003A3CFE" w:rsidRPr="00000502">
        <w:rPr>
          <w:rFonts w:cs="Times New Roman"/>
          <w:color w:val="000000" w:themeColor="text1"/>
        </w:rPr>
        <w:t xml:space="preserve">katra Radiostacijas vienība pēc </w:t>
      </w:r>
      <w:r w:rsidRPr="00000502">
        <w:rPr>
          <w:rFonts w:cs="Times New Roman"/>
          <w:color w:val="000000" w:themeColor="text1"/>
        </w:rPr>
        <w:t>aktivizēšanas Monitoringa sistēmā tiek uzskatīta par nodotu Klientam ar pieņemšanas-nodošanas akt</w:t>
      </w:r>
      <w:r w:rsidR="003A3CFE" w:rsidRPr="00000502">
        <w:rPr>
          <w:rFonts w:cs="Times New Roman"/>
          <w:color w:val="000000" w:themeColor="text1"/>
        </w:rPr>
        <w:t>a</w:t>
      </w:r>
      <w:r w:rsidRPr="00000502">
        <w:rPr>
          <w:rFonts w:cs="Times New Roman"/>
          <w:color w:val="000000" w:themeColor="text1"/>
        </w:rPr>
        <w:t xml:space="preserve"> </w:t>
      </w:r>
      <w:r w:rsidR="003A3CFE" w:rsidRPr="00000502">
        <w:rPr>
          <w:rFonts w:cs="Times New Roman"/>
          <w:color w:val="000000" w:themeColor="text1"/>
        </w:rPr>
        <w:t>parakstīšanas brīdi.</w:t>
      </w:r>
    </w:p>
    <w:p w:rsidR="001C278E" w:rsidRPr="00000502" w:rsidRDefault="00275DC6">
      <w:pPr>
        <w:pStyle w:val="Sarakstarindkopa"/>
        <w:numPr>
          <w:ilvl w:val="1"/>
          <w:numId w:val="1"/>
        </w:numPr>
        <w:ind w:left="567" w:hanging="567"/>
        <w:jc w:val="both"/>
        <w:rPr>
          <w:rFonts w:cs="Times New Roman"/>
        </w:rPr>
      </w:pPr>
      <w:r w:rsidRPr="00000502">
        <w:rPr>
          <w:rFonts w:cs="Times New Roman"/>
        </w:rPr>
        <w:t>Ja Klients kavē savas maksājuma saistības, tad Klients maksā Izpildītājam līgumsodu 0,5% (nulle, komats, piecu procentu) apmērā no kavētās summas par katru kavējuma dienu līdz kavēto saistību izpildei. Līgumsoda samaksa neatbrīvo Klientu no pienākuma veikt visas savas ar Līgumu uzņemtās saistības.</w:t>
      </w:r>
    </w:p>
    <w:p w:rsidR="001C278E" w:rsidRPr="00000502" w:rsidRDefault="00275DC6" w:rsidP="003A3CFE">
      <w:pPr>
        <w:pStyle w:val="Sarakstarindkopa"/>
        <w:numPr>
          <w:ilvl w:val="1"/>
          <w:numId w:val="1"/>
        </w:numPr>
        <w:ind w:left="567" w:hanging="567"/>
        <w:jc w:val="both"/>
        <w:rPr>
          <w:rFonts w:cs="Times New Roman"/>
        </w:rPr>
      </w:pPr>
      <w:r w:rsidRPr="00000502">
        <w:rPr>
          <w:rFonts w:cs="Times New Roman"/>
        </w:rPr>
        <w:t>Līgumā noteiktie maksājumi ir uzskatāmi par veiktiem ar brīdi, kad attiecīgā summa ir ieskaitīta ma</w:t>
      </w:r>
      <w:r w:rsidR="003A3CFE" w:rsidRPr="00000502">
        <w:rPr>
          <w:rFonts w:cs="Times New Roman"/>
        </w:rPr>
        <w:t>ksājuma saņēmēja norēķinu kontā.</w:t>
      </w:r>
    </w:p>
    <w:p w:rsidR="001C278E" w:rsidRPr="00000502" w:rsidRDefault="001C278E">
      <w:pPr>
        <w:pStyle w:val="Standard"/>
        <w:jc w:val="both"/>
        <w:rPr>
          <w:rFonts w:cs="Times New Roman"/>
        </w:rPr>
      </w:pPr>
    </w:p>
    <w:p w:rsidR="001C278E" w:rsidRPr="00000502" w:rsidRDefault="00275DC6">
      <w:pPr>
        <w:pStyle w:val="Standard"/>
        <w:tabs>
          <w:tab w:val="left" w:pos="567"/>
        </w:tabs>
        <w:jc w:val="both"/>
        <w:rPr>
          <w:rFonts w:cs="Times New Roman"/>
        </w:rPr>
      </w:pPr>
      <w:r w:rsidRPr="00000502">
        <w:rPr>
          <w:rFonts w:cs="Times New Roman"/>
        </w:rPr>
        <w:t>3</w:t>
      </w:r>
      <w:r w:rsidRPr="00000502">
        <w:rPr>
          <w:rFonts w:cs="Times New Roman"/>
          <w:b/>
        </w:rPr>
        <w:t xml:space="preserve">. </w:t>
      </w:r>
      <w:r w:rsidRPr="00000502">
        <w:rPr>
          <w:rFonts w:cs="Times New Roman"/>
          <w:b/>
        </w:rPr>
        <w:tab/>
        <w:t>IZPILDĪTĀJA PIENĀKUMI UN TIESĪBAS</w:t>
      </w:r>
    </w:p>
    <w:p w:rsidR="001C278E" w:rsidRPr="00000502" w:rsidRDefault="00275DC6">
      <w:pPr>
        <w:pStyle w:val="Sarakstarindkopa"/>
        <w:numPr>
          <w:ilvl w:val="1"/>
          <w:numId w:val="2"/>
        </w:numPr>
        <w:ind w:left="567" w:hanging="567"/>
        <w:jc w:val="both"/>
        <w:rPr>
          <w:rFonts w:cs="Times New Roman"/>
        </w:rPr>
      </w:pPr>
      <w:r w:rsidRPr="00000502">
        <w:rPr>
          <w:rFonts w:cs="Times New Roman"/>
        </w:rPr>
        <w:t>Izpildītājs saskaņā ar Līgumu nodrošina Klientam Izsekošanas pakalpojumus. Izsekošanas pakalpojumi tiek piedāvāti tādi, kādi tie ir, bez nekādām papildus garantijām no Izpildītāja puses.</w:t>
      </w:r>
    </w:p>
    <w:p w:rsidR="001C278E" w:rsidRPr="00000502" w:rsidRDefault="00275DC6">
      <w:pPr>
        <w:pStyle w:val="Standard"/>
        <w:numPr>
          <w:ilvl w:val="1"/>
          <w:numId w:val="2"/>
        </w:numPr>
        <w:ind w:left="567" w:hanging="567"/>
        <w:jc w:val="both"/>
        <w:rPr>
          <w:rFonts w:cs="Times New Roman"/>
        </w:rPr>
      </w:pPr>
      <w:r w:rsidRPr="00000502">
        <w:rPr>
          <w:rFonts w:cs="Times New Roman"/>
        </w:rPr>
        <w:t>Izpildītājam ir pienākums nodrošināt kvalitatīvu Izsekošanas pakalpojumu darbību un pieejamību. Izsekošanas pakalpojumi ir saistīti ar tehniskiem risinājumiem, kā arī mobilo sakaru operatoru sniegtiem pakalpojumiem, tāpēc iespējami atsevišķi gadījumi, kad Izsekošanas pakalpojumu pieejamība var būt traucēta.</w:t>
      </w:r>
    </w:p>
    <w:p w:rsidR="001C278E" w:rsidRPr="00000502" w:rsidRDefault="00275DC6">
      <w:pPr>
        <w:pStyle w:val="Sarakstarindkopa"/>
        <w:numPr>
          <w:ilvl w:val="1"/>
          <w:numId w:val="2"/>
        </w:numPr>
        <w:ind w:left="567" w:hanging="567"/>
        <w:jc w:val="both"/>
        <w:rPr>
          <w:rFonts w:cs="Times New Roman"/>
        </w:rPr>
      </w:pPr>
      <w:r w:rsidRPr="00000502">
        <w:rPr>
          <w:rFonts w:cs="Times New Roman"/>
        </w:rPr>
        <w:t>Izpildītājs nodrošina Klientu ar mobilo sakaru operatora SIM karti, kas tiek ievietota katrā izsekošanas Aparatūrā. SIM karte ir Izpildītāja īpašums.</w:t>
      </w:r>
    </w:p>
    <w:p w:rsidR="001C278E" w:rsidRPr="00000502" w:rsidRDefault="00275DC6">
      <w:pPr>
        <w:pStyle w:val="Sarakstarindkopa"/>
        <w:numPr>
          <w:ilvl w:val="1"/>
          <w:numId w:val="2"/>
        </w:numPr>
        <w:ind w:left="567" w:hanging="567"/>
        <w:jc w:val="both"/>
        <w:rPr>
          <w:rFonts w:cs="Times New Roman"/>
          <w:color w:val="000000" w:themeColor="text1"/>
        </w:rPr>
      </w:pPr>
      <w:r w:rsidRPr="00000502">
        <w:rPr>
          <w:rFonts w:cs="Times New Roman"/>
        </w:rPr>
        <w:t xml:space="preserve">Izpildītājs nav atbildīgs par Aparatūras un Monitoringa sistēmas darbību, ja to ietekmē Transportlīdzekļa </w:t>
      </w:r>
      <w:r w:rsidR="003A3CFE" w:rsidRPr="00000502">
        <w:rPr>
          <w:rFonts w:cs="Times New Roman"/>
          <w:color w:val="000000" w:themeColor="text1"/>
        </w:rPr>
        <w:t xml:space="preserve">vai Radiostacijas </w:t>
      </w:r>
      <w:r w:rsidRPr="00000502">
        <w:rPr>
          <w:rFonts w:cs="Times New Roman"/>
          <w:color w:val="000000" w:themeColor="text1"/>
        </w:rPr>
        <w:t>bojājumi, Aparatūras tīša bojāšana, elektrības padeves traucējumi un/vai mobilo sakaru operatoru rīcība</w:t>
      </w:r>
      <w:r w:rsidR="003A3CFE" w:rsidRPr="00000502">
        <w:rPr>
          <w:rFonts w:cs="Times New Roman"/>
          <w:color w:val="000000" w:themeColor="text1"/>
        </w:rPr>
        <w:t>, kas nav atkarīga no Izpildītāja darbībām.</w:t>
      </w:r>
    </w:p>
    <w:p w:rsidR="001C278E" w:rsidRPr="00000502" w:rsidRDefault="00275DC6">
      <w:pPr>
        <w:pStyle w:val="Sarakstarindkopa"/>
        <w:numPr>
          <w:ilvl w:val="1"/>
          <w:numId w:val="2"/>
        </w:numPr>
        <w:ind w:left="567" w:hanging="567"/>
        <w:jc w:val="both"/>
        <w:rPr>
          <w:rFonts w:cs="Times New Roman"/>
        </w:rPr>
      </w:pPr>
      <w:r w:rsidRPr="00000502">
        <w:rPr>
          <w:rFonts w:cs="Times New Roman"/>
          <w:color w:val="000000" w:themeColor="text1"/>
        </w:rPr>
        <w:t>Izpildītājam aizliegts nodot trešajām personām datus par Kl</w:t>
      </w:r>
      <w:r w:rsidR="003A3CFE" w:rsidRPr="00000502">
        <w:rPr>
          <w:rFonts w:cs="Times New Roman"/>
          <w:color w:val="000000" w:themeColor="text1"/>
        </w:rPr>
        <w:t>ientu un tā Transportlīdzekļiem un Radiostacijām, par to atrašanās vietām un jebkura veida citu tehnisko informāciju,</w:t>
      </w:r>
      <w:r w:rsidRPr="00000502">
        <w:rPr>
          <w:rFonts w:cs="Times New Roman"/>
          <w:color w:val="000000" w:themeColor="text1"/>
        </w:rPr>
        <w:t xml:space="preserve"> izņemot normatīvajos aktos noteiktajos gadījumos.</w:t>
      </w:r>
      <w:r w:rsidRPr="00000502">
        <w:rPr>
          <w:rFonts w:cs="Times New Roman"/>
        </w:rPr>
        <w:t xml:space="preserve"> </w:t>
      </w:r>
    </w:p>
    <w:p w:rsidR="001C278E" w:rsidRPr="00000502" w:rsidRDefault="00275DC6">
      <w:pPr>
        <w:pStyle w:val="Sarakstarindkopa"/>
        <w:numPr>
          <w:ilvl w:val="1"/>
          <w:numId w:val="2"/>
        </w:numPr>
        <w:ind w:left="567" w:hanging="567"/>
        <w:jc w:val="both"/>
        <w:rPr>
          <w:rFonts w:cs="Times New Roman"/>
        </w:rPr>
      </w:pPr>
      <w:r w:rsidRPr="00000502">
        <w:rPr>
          <w:rFonts w:cs="Times New Roman"/>
        </w:rPr>
        <w:t>Izpildītājs nav atbildīgs par zaudējumiem, kas radušies vai var rasties Izsekošanas pakalpojumu sniegšanas rezultātā.</w:t>
      </w:r>
    </w:p>
    <w:p w:rsidR="001C278E" w:rsidRPr="00000502" w:rsidRDefault="00275DC6">
      <w:pPr>
        <w:pStyle w:val="Sarakstarindkopa"/>
        <w:numPr>
          <w:ilvl w:val="1"/>
          <w:numId w:val="2"/>
        </w:numPr>
        <w:ind w:left="567" w:hanging="567"/>
        <w:jc w:val="both"/>
        <w:rPr>
          <w:rFonts w:cs="Times New Roman"/>
        </w:rPr>
      </w:pPr>
      <w:r w:rsidRPr="00000502">
        <w:rPr>
          <w:rFonts w:cs="Times New Roman"/>
        </w:rPr>
        <w:t xml:space="preserve">Izpildītājs nodrošina maršrutu mērījumu nepārtrauktību vismaz 98% gadā, </w:t>
      </w:r>
      <w:r w:rsidRPr="00000502">
        <w:rPr>
          <w:rFonts w:cs="Times New Roman"/>
          <w:color w:val="000000" w:themeColor="text1"/>
        </w:rPr>
        <w:t xml:space="preserve">ja </w:t>
      </w:r>
      <w:r w:rsidR="003A3CFE" w:rsidRPr="00000502">
        <w:rPr>
          <w:rFonts w:cs="Times New Roman"/>
          <w:color w:val="000000" w:themeColor="text1"/>
        </w:rPr>
        <w:t xml:space="preserve">Radiostacijas vienība vai </w:t>
      </w:r>
      <w:r w:rsidRPr="00000502">
        <w:rPr>
          <w:rFonts w:cs="Times New Roman"/>
        </w:rPr>
        <w:t>Transportlīdzeklī uzstādītā izsekošanas Aparatūra ir aktivizēta un nav bojāta.</w:t>
      </w:r>
    </w:p>
    <w:p w:rsidR="001C278E" w:rsidRPr="00000502" w:rsidRDefault="00275DC6">
      <w:pPr>
        <w:pStyle w:val="Sarakstarindkopa"/>
        <w:numPr>
          <w:ilvl w:val="1"/>
          <w:numId w:val="2"/>
        </w:numPr>
        <w:ind w:left="567" w:hanging="567"/>
        <w:jc w:val="both"/>
        <w:rPr>
          <w:rFonts w:cs="Times New Roman"/>
        </w:rPr>
      </w:pPr>
      <w:r w:rsidRPr="00000502">
        <w:rPr>
          <w:rFonts w:cs="Times New Roman"/>
        </w:rPr>
        <w:t>Izpildītājam ir tiesības ne vairāk kā 24h/mēnesī (divdesmit četras stundas mēnesī) atslēgt Monitoringa sistēmas darbību, lai veiktu Monitoringa sistēmas uzlabošanas darbus. Ja šajā punktā noteiktais termiņš tiek pārsniegts, tad Klientam ir tiesības prasīt Izpildītājam proporcionālu Abonēšanas maksas samazināšanu.</w:t>
      </w:r>
    </w:p>
    <w:p w:rsidR="007A6B84" w:rsidRPr="00000502" w:rsidRDefault="007A6B84">
      <w:pPr>
        <w:pStyle w:val="Sarakstarindkopa"/>
        <w:numPr>
          <w:ilvl w:val="1"/>
          <w:numId w:val="2"/>
        </w:numPr>
        <w:ind w:left="567" w:hanging="567"/>
        <w:jc w:val="both"/>
        <w:rPr>
          <w:rFonts w:cs="Times New Roman"/>
        </w:rPr>
      </w:pPr>
      <w:r w:rsidRPr="00000502">
        <w:rPr>
          <w:rFonts w:cs="Times New Roman"/>
        </w:rPr>
        <w:t>Ja sistēmas uzlabošanas darb</w:t>
      </w:r>
      <w:r w:rsidR="0007477B" w:rsidRPr="00000502">
        <w:rPr>
          <w:rFonts w:cs="Times New Roman"/>
        </w:rPr>
        <w:t>i</w:t>
      </w:r>
      <w:r w:rsidRPr="00000502">
        <w:rPr>
          <w:rFonts w:cs="Times New Roman"/>
        </w:rPr>
        <w:t xml:space="preserve">, kas pilnībā liedz izmantot sistēmu tam pardzētiem mērķiem, </w:t>
      </w:r>
      <w:r w:rsidR="0007477B" w:rsidRPr="00000502">
        <w:rPr>
          <w:rFonts w:cs="Times New Roman"/>
        </w:rPr>
        <w:t>aizņem vairāk</w:t>
      </w:r>
      <w:r w:rsidRPr="00000502">
        <w:rPr>
          <w:rFonts w:cs="Times New Roman"/>
        </w:rPr>
        <w:t xml:space="preserve"> par 1 </w:t>
      </w:r>
      <w:r w:rsidR="0007477B" w:rsidRPr="00000502">
        <w:rPr>
          <w:rFonts w:cs="Times New Roman"/>
        </w:rPr>
        <w:t xml:space="preserve">(vienu) </w:t>
      </w:r>
      <w:r w:rsidRPr="00000502">
        <w:rPr>
          <w:rFonts w:cs="Times New Roman"/>
        </w:rPr>
        <w:t>stundu</w:t>
      </w:r>
      <w:r w:rsidR="0007477B" w:rsidRPr="00000502">
        <w:rPr>
          <w:rFonts w:cs="Times New Roman"/>
        </w:rPr>
        <w:t>, Izpildītājs</w:t>
      </w:r>
      <w:r w:rsidRPr="00000502">
        <w:rPr>
          <w:rFonts w:cs="Times New Roman"/>
        </w:rPr>
        <w:t xml:space="preserve"> par to 3 </w:t>
      </w:r>
      <w:r w:rsidR="0007477B" w:rsidRPr="00000502">
        <w:rPr>
          <w:rFonts w:cs="Times New Roman"/>
        </w:rPr>
        <w:t xml:space="preserve">(trīs) </w:t>
      </w:r>
      <w:r w:rsidRPr="00000502">
        <w:rPr>
          <w:rFonts w:cs="Times New Roman"/>
        </w:rPr>
        <w:t>dienas iepriekš informē</w:t>
      </w:r>
      <w:r w:rsidR="0060083A" w:rsidRPr="00000502">
        <w:rPr>
          <w:rFonts w:cs="Times New Roman"/>
        </w:rPr>
        <w:t xml:space="preserve"> Klientu uz kontakt</w:t>
      </w:r>
      <w:r w:rsidR="0007477B" w:rsidRPr="00000502">
        <w:rPr>
          <w:rFonts w:cs="Times New Roman"/>
        </w:rPr>
        <w:t>p</w:t>
      </w:r>
      <w:r w:rsidR="0060083A" w:rsidRPr="00000502">
        <w:rPr>
          <w:rFonts w:cs="Times New Roman"/>
        </w:rPr>
        <w:t>e</w:t>
      </w:r>
      <w:r w:rsidR="0007477B" w:rsidRPr="00000502">
        <w:rPr>
          <w:rFonts w:cs="Times New Roman"/>
        </w:rPr>
        <w:t xml:space="preserve">rsonas </w:t>
      </w:r>
      <w:r w:rsidRPr="00000502">
        <w:rPr>
          <w:rFonts w:cs="Times New Roman"/>
        </w:rPr>
        <w:t>e</w:t>
      </w:r>
      <w:r w:rsidR="0007477B" w:rsidRPr="00000502">
        <w:rPr>
          <w:rFonts w:cs="Times New Roman"/>
        </w:rPr>
        <w:t>-</w:t>
      </w:r>
      <w:r w:rsidRPr="00000502">
        <w:rPr>
          <w:rFonts w:cs="Times New Roman"/>
        </w:rPr>
        <w:t>pastu.</w:t>
      </w:r>
    </w:p>
    <w:p w:rsidR="001C278E" w:rsidRPr="00000502" w:rsidRDefault="00275DC6">
      <w:pPr>
        <w:pStyle w:val="Sarakstarindkopa"/>
        <w:numPr>
          <w:ilvl w:val="1"/>
          <w:numId w:val="2"/>
        </w:numPr>
        <w:ind w:left="567" w:hanging="567"/>
        <w:jc w:val="both"/>
        <w:rPr>
          <w:rFonts w:cs="Times New Roman"/>
        </w:rPr>
      </w:pPr>
      <w:r w:rsidRPr="00000502">
        <w:rPr>
          <w:rFonts w:cs="Times New Roman"/>
        </w:rPr>
        <w:t>Izpildītājam ir tiesības apstrādāt saskaņā ar Līgumu saņemtos datus par Klientu. Ja Klients nepilda savas Līgumā noteiktās maksājumu saistības, tad Izpildītājam ir tiesības pilnvarot trešo personu parāda piedziņai, kā arī tiesības nodot trešajām personām datus par Klientu saistībā ar kavētajiem maksājumiem.</w:t>
      </w:r>
    </w:p>
    <w:p w:rsidR="001C278E" w:rsidRPr="00000502" w:rsidRDefault="00275DC6">
      <w:pPr>
        <w:pStyle w:val="Sarakstarindkopa"/>
        <w:numPr>
          <w:ilvl w:val="1"/>
          <w:numId w:val="2"/>
        </w:numPr>
        <w:ind w:left="567" w:hanging="567"/>
        <w:jc w:val="both"/>
        <w:rPr>
          <w:rFonts w:cs="Times New Roman"/>
        </w:rPr>
      </w:pPr>
      <w:r w:rsidRPr="00000502">
        <w:rPr>
          <w:rFonts w:cs="Times New Roman"/>
        </w:rPr>
        <w:t>Izpildītājam</w:t>
      </w:r>
      <w:r w:rsidRPr="00000502">
        <w:rPr>
          <w:rFonts w:cs="Times New Roman"/>
          <w:color w:val="000000"/>
        </w:rPr>
        <w:t xml:space="preserve"> ir tiesības pārstrādāt, mainīt, uzlabot Aparatūru, Monitoringa sistēmu un Interneta vietni.</w:t>
      </w:r>
    </w:p>
    <w:p w:rsidR="001C278E" w:rsidRPr="00000502" w:rsidRDefault="00275DC6">
      <w:pPr>
        <w:pStyle w:val="Sarakstarindkopa"/>
        <w:numPr>
          <w:ilvl w:val="1"/>
          <w:numId w:val="2"/>
        </w:numPr>
        <w:ind w:left="567" w:hanging="567"/>
        <w:jc w:val="both"/>
        <w:rPr>
          <w:rFonts w:cs="Times New Roman"/>
        </w:rPr>
      </w:pPr>
      <w:r w:rsidRPr="00000502">
        <w:rPr>
          <w:rFonts w:cs="Times New Roman"/>
        </w:rPr>
        <w:t>Izpildītājam ir pienākums nomainīt nomāto Aparatūru pret citu, ja Aparatūras nedarbošanās iemesls ir Izpildītāja vaina vai Aparatūras ražošanas defekts (ar nosacījumu, ka konkrētā Aparatūra un Transportlīdzeklis atrodas Latvijas Republikas teritorijā). Izpildītājam ir pienākums veikt remontu/nomaiņu sekojošos termiņos:</w:t>
      </w:r>
    </w:p>
    <w:p w:rsidR="001C278E" w:rsidRPr="00000502" w:rsidRDefault="00275DC6">
      <w:pPr>
        <w:pStyle w:val="Sarakstarindkopa"/>
        <w:numPr>
          <w:ilvl w:val="2"/>
          <w:numId w:val="2"/>
        </w:numPr>
        <w:jc w:val="both"/>
        <w:rPr>
          <w:rFonts w:cs="Times New Roman"/>
        </w:rPr>
      </w:pPr>
      <w:r w:rsidRPr="00000502">
        <w:rPr>
          <w:rFonts w:cs="Times New Roman"/>
        </w:rPr>
        <w:t>3 (trīs) darba dienu laikā, ja Aparatūra un Transportlīdzeklis atrodas Rīgas pilsētas teritorijā;</w:t>
      </w:r>
    </w:p>
    <w:p w:rsidR="001C278E" w:rsidRPr="00000502" w:rsidRDefault="00275DC6">
      <w:pPr>
        <w:pStyle w:val="Sarakstarindkopa"/>
        <w:numPr>
          <w:ilvl w:val="2"/>
          <w:numId w:val="2"/>
        </w:numPr>
        <w:jc w:val="both"/>
        <w:rPr>
          <w:rFonts w:cs="Times New Roman"/>
        </w:rPr>
      </w:pPr>
      <w:r w:rsidRPr="00000502">
        <w:rPr>
          <w:rFonts w:cs="Times New Roman"/>
        </w:rPr>
        <w:t>10 (desmit) darba dienu laikā, ja Aparatūra un Transportlīdzeklis atrodas ārpus Rīgas pilsētas teritorijas (Latvijas Republikā).</w:t>
      </w:r>
    </w:p>
    <w:p w:rsidR="001C278E" w:rsidRPr="00000502" w:rsidRDefault="001C278E">
      <w:pPr>
        <w:pStyle w:val="Standard"/>
        <w:jc w:val="both"/>
        <w:rPr>
          <w:rFonts w:cs="Times New Roman"/>
        </w:rPr>
      </w:pPr>
    </w:p>
    <w:p w:rsidR="001C278E" w:rsidRPr="00000502" w:rsidRDefault="00275DC6">
      <w:pPr>
        <w:pStyle w:val="Standard"/>
        <w:tabs>
          <w:tab w:val="left" w:pos="567"/>
        </w:tabs>
        <w:jc w:val="both"/>
        <w:rPr>
          <w:rFonts w:cs="Times New Roman"/>
          <w:b/>
        </w:rPr>
      </w:pPr>
      <w:r w:rsidRPr="00000502">
        <w:rPr>
          <w:rFonts w:cs="Times New Roman"/>
        </w:rPr>
        <w:t>4</w:t>
      </w:r>
      <w:r w:rsidRPr="00000502">
        <w:rPr>
          <w:rFonts w:cs="Times New Roman"/>
          <w:b/>
        </w:rPr>
        <w:t xml:space="preserve">. </w:t>
      </w:r>
      <w:r w:rsidRPr="00000502">
        <w:rPr>
          <w:rFonts w:cs="Times New Roman"/>
          <w:b/>
        </w:rPr>
        <w:tab/>
        <w:t>KLIENTA TIESĪBAS UN PIENĀKUMI</w:t>
      </w:r>
    </w:p>
    <w:p w:rsidR="001C278E" w:rsidRPr="00000502" w:rsidRDefault="00275DC6">
      <w:pPr>
        <w:pStyle w:val="Sarakstarindkopa"/>
        <w:numPr>
          <w:ilvl w:val="1"/>
          <w:numId w:val="4"/>
        </w:numPr>
        <w:ind w:left="567" w:hanging="567"/>
        <w:jc w:val="both"/>
        <w:rPr>
          <w:rFonts w:cs="Times New Roman"/>
        </w:rPr>
      </w:pPr>
      <w:r w:rsidRPr="00000502">
        <w:rPr>
          <w:rFonts w:cs="Times New Roman"/>
        </w:rPr>
        <w:t>Klients var piekļūt Monitoringa sistēmai Pielikumā Nr.1 norādītajā Interneta vietnē. Lai piekļūtu Monitoringa sistēmai, Klientam Interneta vietnē ir jāievada lietotāja vārds un parole, kuru Izpildītājs nodod Klientam pēc pirmās Aparatūras vienības uzstādīšanas Transportlīdzeklī.</w:t>
      </w:r>
    </w:p>
    <w:p w:rsidR="001C278E" w:rsidRPr="00000502" w:rsidRDefault="00275DC6">
      <w:pPr>
        <w:pStyle w:val="Sarakstarindkopa"/>
        <w:numPr>
          <w:ilvl w:val="1"/>
          <w:numId w:val="4"/>
        </w:numPr>
        <w:ind w:left="567" w:hanging="567"/>
        <w:jc w:val="both"/>
        <w:rPr>
          <w:rFonts w:cs="Times New Roman"/>
        </w:rPr>
      </w:pPr>
      <w:r w:rsidRPr="00000502">
        <w:rPr>
          <w:rFonts w:cs="Times New Roman"/>
        </w:rPr>
        <w:t xml:space="preserve">Klientam aizliegts izpaust trešajām personām Monitoringa sistēmas paroli. Monitoringa sistēmas vai </w:t>
      </w:r>
      <w:r w:rsidRPr="00000502">
        <w:rPr>
          <w:rFonts w:cs="Times New Roman"/>
        </w:rPr>
        <w:lastRenderedPageBreak/>
        <w:t>tajā esošās informācijas jebkāda nesankcionēta lietošana vai nodošana trešo personu lietošanā ir aizliegta.</w:t>
      </w:r>
    </w:p>
    <w:p w:rsidR="001C278E" w:rsidRPr="00000502" w:rsidRDefault="00275DC6">
      <w:pPr>
        <w:pStyle w:val="Sarakstarindkopa"/>
        <w:numPr>
          <w:ilvl w:val="1"/>
          <w:numId w:val="4"/>
        </w:numPr>
        <w:ind w:left="567" w:hanging="567"/>
        <w:jc w:val="both"/>
        <w:rPr>
          <w:rFonts w:cs="Times New Roman"/>
        </w:rPr>
      </w:pPr>
      <w:r w:rsidRPr="00000502">
        <w:rPr>
          <w:rFonts w:cs="Times New Roman"/>
        </w:rPr>
        <w:t>Parakstot Līgumu, Klients apliecina, ka tas ir iepazinies ar Monitoringa sistēmas iespējām, risinājumiem un ka Klientam nav pretenziju pret to, un ka Klientam ir tiesības uzstādīt Aparatūru Transportlīdzekļos, ja Klients nav Transportlīdzekļu īpašnieks.</w:t>
      </w:r>
    </w:p>
    <w:p w:rsidR="001C278E" w:rsidRPr="00000502" w:rsidRDefault="00275DC6">
      <w:pPr>
        <w:pStyle w:val="Standard"/>
        <w:numPr>
          <w:ilvl w:val="1"/>
          <w:numId w:val="4"/>
        </w:numPr>
        <w:ind w:left="567" w:hanging="567"/>
        <w:jc w:val="both"/>
        <w:rPr>
          <w:rFonts w:cs="Times New Roman"/>
        </w:rPr>
      </w:pPr>
      <w:r w:rsidRPr="00000502">
        <w:rPr>
          <w:rFonts w:cs="Times New Roman"/>
        </w:rPr>
        <w:t>Klientam jānodrošina Aparatūras saglabāšana un Līguma noteikumiem atbilstoša lietošana un izmantošana. Klientam jāpaziņo Izpildītājam par Aparatūras atvienošanu, zādzību, sabojāšanu, bojājumiem utt. nekavējoties pēc uzzināšanas par atbilstošajiem apstākļiem.</w:t>
      </w:r>
    </w:p>
    <w:p w:rsidR="001C278E" w:rsidRPr="00000502" w:rsidRDefault="00275DC6">
      <w:pPr>
        <w:pStyle w:val="Standard"/>
        <w:numPr>
          <w:ilvl w:val="1"/>
          <w:numId w:val="4"/>
        </w:numPr>
        <w:ind w:left="567" w:hanging="567"/>
        <w:jc w:val="both"/>
        <w:rPr>
          <w:rFonts w:cs="Times New Roman"/>
          <w:color w:val="000000"/>
        </w:rPr>
      </w:pPr>
      <w:r w:rsidRPr="00000502">
        <w:rPr>
          <w:rFonts w:cs="Times New Roman"/>
          <w:color w:val="000000"/>
        </w:rPr>
        <w:t>Ja iestājas kāds no Līguma 4.4. punktā minētajiem gadījumiem, Klienta pienākums ir segt Izpildītājam radušos zaudējumus atbilstoši Cenrādī norādītajai Aparatūras vērtībai par katru Aparatūras vienību.</w:t>
      </w:r>
    </w:p>
    <w:p w:rsidR="001C278E" w:rsidRPr="00000502" w:rsidRDefault="00275DC6">
      <w:pPr>
        <w:pStyle w:val="Standard"/>
        <w:numPr>
          <w:ilvl w:val="1"/>
          <w:numId w:val="4"/>
        </w:numPr>
        <w:ind w:left="567" w:hanging="567"/>
        <w:jc w:val="both"/>
        <w:rPr>
          <w:rFonts w:cs="Times New Roman"/>
        </w:rPr>
      </w:pPr>
      <w:r w:rsidRPr="00000502">
        <w:rPr>
          <w:rFonts w:eastAsia="Batang, 바탕" w:cs="Times New Roman"/>
        </w:rPr>
        <w:t xml:space="preserve">Atbildība par Aparatūras saglabāšanu un viss risks par Aparatūras bojājumiem, zaudējumiem vai bojāeju pāriet Klientam ar brīdi, kad Aparatūra tiek nodota Klientam vai uzstādīta Transportlīdzeklī </w:t>
      </w:r>
      <w:r w:rsidRPr="00000502">
        <w:rPr>
          <w:rFonts w:cs="Times New Roman"/>
        </w:rPr>
        <w:t>(atkarībā no tā, kas iestājas ātrāk)</w:t>
      </w:r>
      <w:r w:rsidRPr="00000502">
        <w:rPr>
          <w:rFonts w:eastAsia="Batang, 바탕" w:cs="Times New Roman"/>
        </w:rPr>
        <w:t>.</w:t>
      </w:r>
    </w:p>
    <w:p w:rsidR="001C278E" w:rsidRPr="00000502" w:rsidRDefault="00275DC6">
      <w:pPr>
        <w:pStyle w:val="Sarakstarindkopa"/>
        <w:numPr>
          <w:ilvl w:val="1"/>
          <w:numId w:val="4"/>
        </w:numPr>
        <w:ind w:left="567" w:hanging="567"/>
        <w:jc w:val="both"/>
        <w:rPr>
          <w:rFonts w:cs="Times New Roman"/>
          <w:color w:val="000000" w:themeColor="text1"/>
        </w:rPr>
      </w:pPr>
      <w:r w:rsidRPr="00000502">
        <w:rPr>
          <w:rFonts w:cs="Times New Roman"/>
        </w:rPr>
        <w:t xml:space="preserve">Klientam ir tiesības Monitoringa </w:t>
      </w:r>
      <w:r w:rsidRPr="00000502">
        <w:rPr>
          <w:rFonts w:cs="Times New Roman"/>
          <w:color w:val="000000" w:themeColor="text1"/>
        </w:rPr>
        <w:t xml:space="preserve">sistēmā </w:t>
      </w:r>
      <w:r w:rsidR="00617E6B" w:rsidRPr="00000502">
        <w:rPr>
          <w:rFonts w:cs="Times New Roman"/>
          <w:color w:val="000000" w:themeColor="text1"/>
        </w:rPr>
        <w:t>ievadīt, labot un dzēst</w:t>
      </w:r>
      <w:r w:rsidRPr="00000502">
        <w:rPr>
          <w:rFonts w:cs="Times New Roman"/>
          <w:color w:val="000000" w:themeColor="text1"/>
        </w:rPr>
        <w:t xml:space="preserve"> datus par konkrētiem Transportlīdzekļiem</w:t>
      </w:r>
      <w:r w:rsidR="00617E6B" w:rsidRPr="00000502">
        <w:rPr>
          <w:rFonts w:cs="Times New Roman"/>
          <w:color w:val="000000" w:themeColor="text1"/>
        </w:rPr>
        <w:t xml:space="preserve"> (to lietotājiem) un Radiostaciju lietotājiem (pievienot autovadītāja un/vai lietotāja datus</w:t>
      </w:r>
      <w:r w:rsidRPr="00000502">
        <w:rPr>
          <w:rFonts w:cs="Times New Roman"/>
          <w:color w:val="000000" w:themeColor="text1"/>
        </w:rPr>
        <w:t>, Transportlīdzekļa nobraukumu u.c. parametrus, kas tiek piedāvāti Monitoringa sistēmā).</w:t>
      </w:r>
    </w:p>
    <w:p w:rsidR="001C278E" w:rsidRPr="00000502" w:rsidRDefault="00275DC6">
      <w:pPr>
        <w:pStyle w:val="Sarakstarindkopa"/>
        <w:numPr>
          <w:ilvl w:val="1"/>
          <w:numId w:val="4"/>
        </w:numPr>
        <w:ind w:left="567" w:hanging="567"/>
        <w:jc w:val="both"/>
        <w:rPr>
          <w:rFonts w:cs="Times New Roman"/>
        </w:rPr>
      </w:pPr>
      <w:r w:rsidRPr="00000502">
        <w:rPr>
          <w:rFonts w:cs="Times New Roman"/>
        </w:rPr>
        <w:t>Klients ir informēts un piekrīt, ka visas darbības, kas veiktas Monitoringa sistēmā, izmantojot Klienta lietotājvārdu un tam piešķirto paroli, ir saistošas Klientam un tiks uzskatītas par Klienta veiktām.</w:t>
      </w:r>
    </w:p>
    <w:p w:rsidR="001C278E" w:rsidRPr="00000502" w:rsidRDefault="00275DC6">
      <w:pPr>
        <w:pStyle w:val="Sarakstarindkopa"/>
        <w:numPr>
          <w:ilvl w:val="1"/>
          <w:numId w:val="4"/>
        </w:numPr>
        <w:ind w:left="567" w:hanging="567"/>
        <w:jc w:val="both"/>
        <w:rPr>
          <w:rFonts w:cs="Times New Roman"/>
        </w:rPr>
      </w:pPr>
      <w:r w:rsidRPr="00000502">
        <w:rPr>
          <w:rFonts w:cs="Times New Roman"/>
        </w:rPr>
        <w:t>Ja Klients konstatē Aparatūras darbības traucējumus, kam par iemeslu varētu būt Izpildītāja vaina, tad Klients par šādiem gadījumiem paziņo Izpildītājam, nosūtot paziņojumu uz Pielikumā Nr.1 norādīto Izpildītāja tehniskā atbalsta e-pastu.</w:t>
      </w:r>
    </w:p>
    <w:p w:rsidR="001C278E" w:rsidRPr="00000502" w:rsidRDefault="00275DC6">
      <w:pPr>
        <w:pStyle w:val="Sarakstarindkopa"/>
        <w:numPr>
          <w:ilvl w:val="1"/>
          <w:numId w:val="4"/>
        </w:numPr>
        <w:ind w:left="567" w:hanging="567"/>
        <w:jc w:val="both"/>
        <w:rPr>
          <w:rFonts w:cs="Times New Roman"/>
        </w:rPr>
      </w:pPr>
      <w:r w:rsidRPr="00000502">
        <w:rPr>
          <w:rFonts w:cs="Times New Roman"/>
        </w:rPr>
        <w:t>Klientam ir tiesības pieteikt Izsekošanas pakalpojumu neatbilstību ne vēlāk kā 30 (trīsdesmit dienu) laikā no šādu apstākļu rašanās dienas.</w:t>
      </w:r>
    </w:p>
    <w:p w:rsidR="001C278E" w:rsidRPr="00000502" w:rsidRDefault="00275DC6">
      <w:pPr>
        <w:pStyle w:val="Sarakstarindkopa"/>
        <w:numPr>
          <w:ilvl w:val="1"/>
          <w:numId w:val="4"/>
        </w:numPr>
        <w:ind w:left="567" w:hanging="567"/>
        <w:jc w:val="both"/>
        <w:rPr>
          <w:rFonts w:cs="Times New Roman"/>
        </w:rPr>
      </w:pPr>
      <w:r w:rsidRPr="00000502">
        <w:rPr>
          <w:rFonts w:cs="Times New Roman"/>
        </w:rPr>
        <w:t>Klientam ir tiesības iegādāties vai nomāt un izmantot papildus Aparatūras vienības, ja Klientam rodas tāda nepieciešamība. Šādā gadījumā Puses, apmainoties e-pastiem vai noslēdzot papildus vienošanos, vienojas par papildus Aparatūras vienību pirkumu vai nomu, piegādes noteikumiem utt. Attiecībā uz Izsekošanas pakalpojumu sniegšanas kārtību un cenām paliek spēkā šajā Līgumā noteiktais arī uz papildus Aparatūras vienībām (nomas maksa, Abonēšanas maksa, piegāde utt.), ja vien Puses nevienojas par citu kārtību.</w:t>
      </w:r>
    </w:p>
    <w:p w:rsidR="001C278E" w:rsidRPr="00000502" w:rsidRDefault="001C278E">
      <w:pPr>
        <w:pStyle w:val="Standard"/>
        <w:jc w:val="both"/>
        <w:rPr>
          <w:rFonts w:cs="Times New Roman"/>
        </w:rPr>
      </w:pPr>
    </w:p>
    <w:p w:rsidR="001C278E" w:rsidRPr="00000502" w:rsidRDefault="00275DC6">
      <w:pPr>
        <w:pStyle w:val="Sarakstarindkopa"/>
        <w:numPr>
          <w:ilvl w:val="0"/>
          <w:numId w:val="4"/>
        </w:numPr>
        <w:tabs>
          <w:tab w:val="left" w:pos="1146"/>
        </w:tabs>
        <w:jc w:val="both"/>
        <w:rPr>
          <w:rFonts w:cs="Times New Roman"/>
          <w:b/>
        </w:rPr>
      </w:pPr>
      <w:r w:rsidRPr="00000502">
        <w:rPr>
          <w:rFonts w:cs="Times New Roman"/>
          <w:b/>
        </w:rPr>
        <w:t>LĪGUMA TERMIŅŠ, APTURĒŠANA UN IZBEIGŠANA</w:t>
      </w:r>
    </w:p>
    <w:p w:rsidR="001C278E" w:rsidRPr="00000502" w:rsidRDefault="00275DC6" w:rsidP="00E65A79">
      <w:pPr>
        <w:pStyle w:val="Sarakstarindkopa"/>
        <w:numPr>
          <w:ilvl w:val="1"/>
          <w:numId w:val="4"/>
        </w:numPr>
        <w:ind w:right="46"/>
        <w:jc w:val="both"/>
        <w:rPr>
          <w:rFonts w:cs="Times New Roman"/>
          <w:bCs/>
        </w:rPr>
      </w:pPr>
      <w:r w:rsidRPr="00000502">
        <w:rPr>
          <w:rFonts w:cs="Times New Roman"/>
          <w:bCs/>
          <w:color w:val="000000" w:themeColor="text1"/>
        </w:rPr>
        <w:t xml:space="preserve">Līgums stājas spēkā pēc tam, kad abas Puses to ir parakstījušas un ir spēkā </w:t>
      </w:r>
      <w:r w:rsidR="00E65A79" w:rsidRPr="00000502">
        <w:rPr>
          <w:rFonts w:cs="Times New Roman"/>
          <w:bCs/>
          <w:color w:val="000000" w:themeColor="text1"/>
        </w:rPr>
        <w:t xml:space="preserve">1 (vienu) gadu ar tiesībām pagarināt līgumu par 1 (vienu) gadu, ar nosacījumu, ka līguma kopējais termiņš nedrīkst pārsniegt 3 (trīs) gadus vai līdz Līguma 1.4. </w:t>
      </w:r>
      <w:proofErr w:type="gramStart"/>
      <w:r w:rsidR="00E65A79" w:rsidRPr="00000502">
        <w:rPr>
          <w:rFonts w:cs="Times New Roman"/>
          <w:bCs/>
          <w:color w:val="000000" w:themeColor="text1"/>
        </w:rPr>
        <w:t>punktā  noteiktās</w:t>
      </w:r>
      <w:proofErr w:type="gramEnd"/>
      <w:r w:rsidR="00E65A79" w:rsidRPr="00000502">
        <w:rPr>
          <w:rFonts w:cs="Times New Roman"/>
          <w:bCs/>
          <w:color w:val="000000" w:themeColor="text1"/>
        </w:rPr>
        <w:t xml:space="preserve"> summas sasniegšanai.</w:t>
      </w:r>
      <w:r w:rsidRPr="00000502">
        <w:rPr>
          <w:rFonts w:cs="Times New Roman"/>
          <w:bCs/>
          <w:color w:val="FF0000"/>
        </w:rPr>
        <w:t xml:space="preserve"> </w:t>
      </w:r>
      <w:r w:rsidRPr="00000502">
        <w:rPr>
          <w:rFonts w:cs="Times New Roman"/>
          <w:bCs/>
        </w:rPr>
        <w:t>Līgumu var grozīt vai izbeigt, abām Pusēm par to rakstiski vienojoties.</w:t>
      </w:r>
    </w:p>
    <w:p w:rsidR="001C278E" w:rsidRPr="00000502" w:rsidRDefault="00275DC6">
      <w:pPr>
        <w:pStyle w:val="Sarakstarindkopa"/>
        <w:numPr>
          <w:ilvl w:val="1"/>
          <w:numId w:val="4"/>
        </w:numPr>
        <w:ind w:left="567" w:hanging="567"/>
        <w:jc w:val="both"/>
        <w:rPr>
          <w:rFonts w:cs="Times New Roman"/>
        </w:rPr>
      </w:pPr>
      <w:r w:rsidRPr="00000502">
        <w:rPr>
          <w:rFonts w:cs="Times New Roman"/>
        </w:rPr>
        <w:t>Izpildītājam ir tiesības vienpusēji apturēt Izsekošanas pakalpojumu sniegšanu Klientam vai vienpusēji izbeigt Līgumu, ja:</w:t>
      </w:r>
    </w:p>
    <w:p w:rsidR="001C278E" w:rsidRPr="00000502" w:rsidRDefault="00275DC6">
      <w:pPr>
        <w:pStyle w:val="Sarakstarindkopa"/>
        <w:numPr>
          <w:ilvl w:val="2"/>
          <w:numId w:val="4"/>
        </w:numPr>
        <w:ind w:left="709" w:hanging="709"/>
        <w:jc w:val="both"/>
        <w:rPr>
          <w:rFonts w:cs="Times New Roman"/>
        </w:rPr>
      </w:pPr>
      <w:r w:rsidRPr="00000502">
        <w:rPr>
          <w:rFonts w:cs="Times New Roman"/>
        </w:rPr>
        <w:t>Klients neievēro Līgumā noteiktās saistības;</w:t>
      </w:r>
    </w:p>
    <w:p w:rsidR="001C278E" w:rsidRPr="00000502" w:rsidRDefault="00275DC6">
      <w:pPr>
        <w:pStyle w:val="Sarakstarindkopa"/>
        <w:numPr>
          <w:ilvl w:val="2"/>
          <w:numId w:val="4"/>
        </w:numPr>
        <w:ind w:left="709" w:hanging="709"/>
        <w:jc w:val="both"/>
        <w:rPr>
          <w:rFonts w:cs="Times New Roman"/>
        </w:rPr>
      </w:pPr>
      <w:r w:rsidRPr="00000502">
        <w:rPr>
          <w:rFonts w:cs="Times New Roman"/>
        </w:rPr>
        <w:t>Klients kavē Līgumā noteiktos maksājumus 10 (desmit) dienas vai vairāk.</w:t>
      </w:r>
    </w:p>
    <w:p w:rsidR="001C278E" w:rsidRPr="00000502" w:rsidRDefault="00275DC6">
      <w:pPr>
        <w:pStyle w:val="Sarakstarindkopa"/>
        <w:numPr>
          <w:ilvl w:val="1"/>
          <w:numId w:val="4"/>
        </w:numPr>
        <w:ind w:left="567" w:hanging="567"/>
        <w:jc w:val="both"/>
        <w:rPr>
          <w:rFonts w:cs="Times New Roman"/>
        </w:rPr>
      </w:pPr>
      <w:r w:rsidRPr="00000502">
        <w:rPr>
          <w:rFonts w:cs="Times New Roman"/>
        </w:rPr>
        <w:t>Izpildītājs atjauno Izsekošanas pakalpojumu sniegšanu pēc tam, kad Klients ir novērsis attiecīgos trūkumus un paziņojis par to Izpildītājam.</w:t>
      </w:r>
    </w:p>
    <w:p w:rsidR="00AB0610" w:rsidRPr="00000502" w:rsidRDefault="00275DC6" w:rsidP="00AB0610">
      <w:pPr>
        <w:pStyle w:val="Sarakstarindkopa"/>
        <w:numPr>
          <w:ilvl w:val="1"/>
          <w:numId w:val="4"/>
        </w:numPr>
        <w:ind w:left="567" w:hanging="567"/>
        <w:jc w:val="both"/>
        <w:rPr>
          <w:rFonts w:cs="Times New Roman"/>
        </w:rPr>
      </w:pPr>
      <w:r w:rsidRPr="00000502">
        <w:rPr>
          <w:rFonts w:cs="Times New Roman"/>
        </w:rPr>
        <w:t xml:space="preserve">Izpildītājam ir tiesības vienpusēji izbeigt Līgumu, par to rakstiski brīdinot Klientu vismaz 30 (trīsdesmit) dienas iepriekš. Klientam ir tiesības vienpusēji izbeigt Līgumu, par to rakstiski brīdinot Izpildītāju vismaz </w:t>
      </w:r>
      <w:r w:rsidR="007A6B84" w:rsidRPr="00000502">
        <w:rPr>
          <w:rFonts w:cs="Times New Roman"/>
        </w:rPr>
        <w:t xml:space="preserve">30 </w:t>
      </w:r>
      <w:r w:rsidRPr="00000502">
        <w:rPr>
          <w:rFonts w:cs="Times New Roman"/>
        </w:rPr>
        <w:t>(</w:t>
      </w:r>
      <w:r w:rsidR="007A6B84" w:rsidRPr="00000502">
        <w:rPr>
          <w:rFonts w:cs="Times New Roman"/>
        </w:rPr>
        <w:t>trīsdesmit</w:t>
      </w:r>
      <w:r w:rsidRPr="00000502">
        <w:rPr>
          <w:rFonts w:cs="Times New Roman"/>
        </w:rPr>
        <w:t>) dienas iepriekš</w:t>
      </w:r>
      <w:r w:rsidR="00E8150A" w:rsidRPr="00000502">
        <w:rPr>
          <w:rFonts w:cs="Times New Roman"/>
        </w:rPr>
        <w:t>.</w:t>
      </w:r>
    </w:p>
    <w:p w:rsidR="001C278E" w:rsidRPr="00000502" w:rsidRDefault="00275DC6">
      <w:pPr>
        <w:pStyle w:val="Standard"/>
        <w:numPr>
          <w:ilvl w:val="1"/>
          <w:numId w:val="4"/>
        </w:numPr>
        <w:ind w:left="567" w:hanging="567"/>
        <w:jc w:val="both"/>
        <w:rPr>
          <w:rFonts w:cs="Times New Roman"/>
          <w:color w:val="000000"/>
        </w:rPr>
      </w:pPr>
      <w:r w:rsidRPr="00000502">
        <w:rPr>
          <w:rFonts w:cs="Times New Roman"/>
          <w:color w:val="000000"/>
        </w:rPr>
        <w:t>Klientam ir pienākums ne vēlāk kā Līguma izbeigšanas dienā atgriezt Izpildītājam Aparatūru, kas uzstādīta Transportlīdzekļos, kā arī veikt pilnīgu norēķinu saskaņā ar Līgumu. Ja Klients neatgriež Aparatūru noteiktajā termiņā vai tā ir bojāta, tad Klientam ir pienākums pēc pirmā Izpildītāja pieprasījuma samaksāt Izpildītājam Cenrādī norādīto Aparatūras vērtību par katru termiņā nenodoto vai nodoto, bet bojāto Aparatūras vienību.</w:t>
      </w:r>
    </w:p>
    <w:p w:rsidR="001C278E" w:rsidRPr="00000502" w:rsidRDefault="001C278E">
      <w:pPr>
        <w:pStyle w:val="Standard"/>
        <w:ind w:left="426" w:hanging="426"/>
        <w:jc w:val="both"/>
        <w:rPr>
          <w:rFonts w:cs="Times New Roman"/>
        </w:rPr>
      </w:pPr>
    </w:p>
    <w:p w:rsidR="001C278E" w:rsidRPr="00000502" w:rsidRDefault="00275DC6">
      <w:pPr>
        <w:pStyle w:val="Sarakstarindkopa"/>
        <w:numPr>
          <w:ilvl w:val="0"/>
          <w:numId w:val="4"/>
        </w:numPr>
        <w:jc w:val="both"/>
        <w:rPr>
          <w:rFonts w:cs="Times New Roman"/>
          <w:b/>
        </w:rPr>
      </w:pPr>
      <w:r w:rsidRPr="00000502">
        <w:rPr>
          <w:rFonts w:cs="Times New Roman"/>
          <w:b/>
        </w:rPr>
        <w:t>NEPĀRVARAMA VARA</w:t>
      </w:r>
    </w:p>
    <w:p w:rsidR="001C278E" w:rsidRPr="00000502" w:rsidRDefault="00275DC6">
      <w:pPr>
        <w:pStyle w:val="Standard"/>
        <w:jc w:val="both"/>
        <w:rPr>
          <w:rFonts w:cs="Times New Roman"/>
          <w:color w:val="000000"/>
        </w:rPr>
      </w:pPr>
      <w:r w:rsidRPr="00000502">
        <w:rPr>
          <w:rFonts w:cs="Times New Roman"/>
          <w:color w:val="000000"/>
        </w:rPr>
        <w:t xml:space="preserve">Puses nav atbildīgas par saistību neizpildes kavējumu, ja tas radies nepārvaramas varas apstākļu ietekmes rezultātā, kurus attiecīgā Puse nevarēja ne paredzēt, ne novērst, ne ietekmēt, un par kuru rašanos tā neuzņemas atbildību, tajā skaitā, bet ne tikai stihiskas nelaimes, kara darbība, blokāde, civiliedzīvotāju nemieri, eksporta/importa aizliegums vai ierobežojums, streiki, trešo personu rīcība, kā arī Pusēm saistoši </w:t>
      </w:r>
      <w:r w:rsidRPr="00000502">
        <w:rPr>
          <w:rFonts w:cs="Times New Roman"/>
          <w:color w:val="000000"/>
        </w:rPr>
        <w:lastRenderedPageBreak/>
        <w:t>normatīvie akti, saskaņā ar kuriem Pusei nav iespējas izpildīt šajā Līgumā paredzētās saistības. Pusei, kura atsaucas uz nepārvaramu varu, ir pienākums rakstiski informēt otru Pusi ne vēlāk kā 10 (desmit) dienu laikā pēc atbilstošu apstākļu iestāšanās.</w:t>
      </w:r>
    </w:p>
    <w:p w:rsidR="001C278E" w:rsidRPr="00000502" w:rsidRDefault="001C278E">
      <w:pPr>
        <w:pStyle w:val="Standard"/>
        <w:jc w:val="both"/>
        <w:rPr>
          <w:rFonts w:cs="Times New Roman"/>
        </w:rPr>
      </w:pPr>
    </w:p>
    <w:p w:rsidR="001C278E" w:rsidRPr="00000502" w:rsidRDefault="00275DC6">
      <w:pPr>
        <w:pStyle w:val="Sarakstarindkopa"/>
        <w:numPr>
          <w:ilvl w:val="0"/>
          <w:numId w:val="4"/>
        </w:numPr>
        <w:jc w:val="both"/>
        <w:rPr>
          <w:rFonts w:cs="Times New Roman"/>
          <w:b/>
        </w:rPr>
      </w:pPr>
      <w:r w:rsidRPr="00000502">
        <w:rPr>
          <w:rFonts w:cs="Times New Roman"/>
          <w:b/>
        </w:rPr>
        <w:t>BEIGU NOTEIKUMI</w:t>
      </w:r>
    </w:p>
    <w:p w:rsidR="001C278E" w:rsidRPr="00000502" w:rsidRDefault="00275DC6">
      <w:pPr>
        <w:pStyle w:val="Sarakstarindkopa"/>
        <w:numPr>
          <w:ilvl w:val="1"/>
          <w:numId w:val="4"/>
        </w:numPr>
        <w:ind w:left="567" w:right="46" w:hanging="567"/>
        <w:jc w:val="both"/>
        <w:rPr>
          <w:rFonts w:cs="Times New Roman"/>
        </w:rPr>
      </w:pPr>
      <w:r w:rsidRPr="00000502">
        <w:rPr>
          <w:rFonts w:cs="Times New Roman"/>
        </w:rPr>
        <w:t>No Līguma izrietošās tiesiskās attiecības regulē Latvijas Republikas tiesību akti.</w:t>
      </w:r>
    </w:p>
    <w:p w:rsidR="001C278E" w:rsidRPr="00000502" w:rsidRDefault="00275DC6">
      <w:pPr>
        <w:pStyle w:val="Sarakstarindkopa"/>
        <w:numPr>
          <w:ilvl w:val="1"/>
          <w:numId w:val="4"/>
        </w:numPr>
        <w:ind w:left="567" w:right="46" w:hanging="567"/>
        <w:jc w:val="both"/>
        <w:rPr>
          <w:rFonts w:cs="Times New Roman"/>
        </w:rPr>
      </w:pPr>
      <w:r w:rsidRPr="00000502">
        <w:rPr>
          <w:rFonts w:cs="Times New Roman"/>
        </w:rPr>
        <w:t>Puses ir izlasījušas Līgumu un visus tā pielikumus, to saturs atbilst Pušu vienošanās apmēram. Visas Līguma izmaiņas un papildinājumi ir spēkā, ja tie noformēti rakstveidā un ja tos parakstījušas abas Puses. Puses atzīs par sev saistošiem paziņojumus (rēķinus, aktus, Aparatūras pasūtījumus utt.), kas nav Pušu pārstāvju parakstīti, bet tiek nosūtīti uz Pielikumā Nr.1 norādītajiem Pušu kontaktpersonu e-pastiem.</w:t>
      </w:r>
    </w:p>
    <w:p w:rsidR="001C278E" w:rsidRPr="00000502" w:rsidRDefault="00275DC6">
      <w:pPr>
        <w:pStyle w:val="Sarakstarindkopa"/>
        <w:numPr>
          <w:ilvl w:val="1"/>
          <w:numId w:val="4"/>
        </w:numPr>
        <w:ind w:left="567" w:hanging="567"/>
        <w:jc w:val="both"/>
        <w:rPr>
          <w:rFonts w:cs="Times New Roman"/>
        </w:rPr>
      </w:pPr>
      <w:r w:rsidRPr="00000502">
        <w:rPr>
          <w:rFonts w:cs="Times New Roman"/>
        </w:rPr>
        <w:t>Strīdu rašanās gadījumā Puses centīsies tos atrisināt pārrunu ceļā. Ja pārrunu ceļā netiks panākta vienošanās, tad jebkurš strīds, nesaskaņa vai prasība, kas izriet no Līguma, kas skar to vai tā pārkāpšanu, izbeigšanu vai spēka neesamību, tiks galīgi izšķirts pēc prasītāja izvēles vai nu Latvijas Republikas tiesā pēc piekritības, vai arī Baltijas Starptautiskajā Šķīrējtiesā, Rīgā, Latvijā, reģ. Nr. 40003759437, saskaņā ar minētās šķīrējtiesas reglamentu (šķīrējtiesnešu skaits – viens, šķīrējtiesas valoda – latviešu).</w:t>
      </w:r>
    </w:p>
    <w:p w:rsidR="001C278E" w:rsidRPr="00000502" w:rsidRDefault="00275DC6">
      <w:pPr>
        <w:pStyle w:val="Sarakstarindkopa"/>
        <w:numPr>
          <w:ilvl w:val="1"/>
          <w:numId w:val="4"/>
        </w:numPr>
        <w:ind w:left="567" w:right="46" w:hanging="567"/>
        <w:jc w:val="both"/>
        <w:rPr>
          <w:rFonts w:cs="Times New Roman"/>
        </w:rPr>
      </w:pPr>
      <w:r w:rsidRPr="00000502">
        <w:rPr>
          <w:rFonts w:cs="Times New Roman"/>
        </w:rPr>
        <w:t>Pusei ir rakstiski jāpaziņo otrai Pusei par izmaiņām tās juridiskajā adresē, norēķinu kontos, telefona numuros, e-pastos un citos rekvizītos.</w:t>
      </w:r>
    </w:p>
    <w:p w:rsidR="00280067" w:rsidRPr="00000502" w:rsidRDefault="00275DC6" w:rsidP="00280067">
      <w:pPr>
        <w:pStyle w:val="Sarakstarindkopa"/>
        <w:numPr>
          <w:ilvl w:val="1"/>
          <w:numId w:val="4"/>
        </w:numPr>
        <w:ind w:left="567" w:right="46" w:hanging="567"/>
        <w:jc w:val="both"/>
        <w:rPr>
          <w:rFonts w:cs="Times New Roman"/>
        </w:rPr>
      </w:pPr>
      <w:r w:rsidRPr="00000502">
        <w:rPr>
          <w:rFonts w:cs="Times New Roman"/>
        </w:rPr>
        <w:t>Līgums ir sastādīts divos eksemplāros</w:t>
      </w:r>
      <w:r w:rsidR="0060083A" w:rsidRPr="00000502">
        <w:rPr>
          <w:rFonts w:cs="Times New Roman"/>
        </w:rPr>
        <w:t xml:space="preserve"> </w:t>
      </w:r>
      <w:r w:rsidR="0060083A" w:rsidRPr="00000502">
        <w:rPr>
          <w:rFonts w:cs="Times New Roman"/>
          <w:color w:val="000000" w:themeColor="text1"/>
        </w:rPr>
        <w:t xml:space="preserve">uz </w:t>
      </w:r>
      <w:r w:rsidR="00000502">
        <w:rPr>
          <w:rFonts w:cs="Times New Roman"/>
          <w:color w:val="000000" w:themeColor="text1"/>
        </w:rPr>
        <w:t>5</w:t>
      </w:r>
      <w:r w:rsidR="0060083A" w:rsidRPr="00000502">
        <w:rPr>
          <w:rFonts w:cs="Times New Roman"/>
          <w:color w:val="000000" w:themeColor="text1"/>
        </w:rPr>
        <w:t xml:space="preserve"> (</w:t>
      </w:r>
      <w:r w:rsidR="00000502">
        <w:rPr>
          <w:rFonts w:cs="Times New Roman"/>
          <w:color w:val="000000" w:themeColor="text1"/>
        </w:rPr>
        <w:t>piecām</w:t>
      </w:r>
      <w:r w:rsidR="0060083A" w:rsidRPr="00000502">
        <w:rPr>
          <w:rFonts w:cs="Times New Roman"/>
          <w:color w:val="000000" w:themeColor="text1"/>
        </w:rPr>
        <w:t xml:space="preserve">) lapām ar pielikumu Nr.1 „Finanšu piedāvājums“ uz </w:t>
      </w:r>
      <w:r w:rsidR="00000502">
        <w:rPr>
          <w:rFonts w:cs="Times New Roman"/>
          <w:color w:val="000000" w:themeColor="text1"/>
        </w:rPr>
        <w:t>2</w:t>
      </w:r>
      <w:r w:rsidR="0060083A" w:rsidRPr="00000502">
        <w:rPr>
          <w:rFonts w:cs="Times New Roman"/>
          <w:color w:val="000000" w:themeColor="text1"/>
        </w:rPr>
        <w:t xml:space="preserve"> (</w:t>
      </w:r>
      <w:r w:rsidR="00000502">
        <w:rPr>
          <w:rFonts w:cs="Times New Roman"/>
          <w:color w:val="000000" w:themeColor="text1"/>
        </w:rPr>
        <w:t>divām</w:t>
      </w:r>
      <w:r w:rsidR="0060083A" w:rsidRPr="00000502">
        <w:rPr>
          <w:rFonts w:cs="Times New Roman"/>
          <w:color w:val="000000" w:themeColor="text1"/>
        </w:rPr>
        <w:t>) lap</w:t>
      </w:r>
      <w:r w:rsidR="00000502">
        <w:rPr>
          <w:rFonts w:cs="Times New Roman"/>
          <w:color w:val="000000" w:themeColor="text1"/>
        </w:rPr>
        <w:t>ām</w:t>
      </w:r>
      <w:r w:rsidR="0060083A" w:rsidRPr="00000502">
        <w:rPr>
          <w:rFonts w:cs="Times New Roman"/>
          <w:color w:val="000000" w:themeColor="text1"/>
        </w:rPr>
        <w:t xml:space="preserve"> un pielikumu Nr.2 „Tehniskā specifikācija“ uz </w:t>
      </w:r>
      <w:r w:rsidR="00000502">
        <w:rPr>
          <w:rFonts w:cs="Times New Roman"/>
          <w:color w:val="000000" w:themeColor="text1"/>
        </w:rPr>
        <w:t>2</w:t>
      </w:r>
      <w:r w:rsidR="00000502" w:rsidRPr="00000502">
        <w:rPr>
          <w:rFonts w:cs="Times New Roman"/>
          <w:color w:val="000000" w:themeColor="text1"/>
        </w:rPr>
        <w:t xml:space="preserve"> (</w:t>
      </w:r>
      <w:r w:rsidR="00000502">
        <w:rPr>
          <w:rFonts w:cs="Times New Roman"/>
          <w:color w:val="000000" w:themeColor="text1"/>
        </w:rPr>
        <w:t>divām</w:t>
      </w:r>
      <w:r w:rsidR="00000502" w:rsidRPr="00000502">
        <w:rPr>
          <w:rFonts w:cs="Times New Roman"/>
          <w:color w:val="000000" w:themeColor="text1"/>
        </w:rPr>
        <w:t>) lap</w:t>
      </w:r>
      <w:r w:rsidR="00000502">
        <w:rPr>
          <w:rFonts w:cs="Times New Roman"/>
          <w:color w:val="000000" w:themeColor="text1"/>
        </w:rPr>
        <w:t>ām</w:t>
      </w:r>
      <w:r w:rsidR="00000502" w:rsidRPr="00000502">
        <w:rPr>
          <w:rFonts w:cs="Times New Roman"/>
          <w:color w:val="000000" w:themeColor="text1"/>
        </w:rPr>
        <w:t xml:space="preserve"> </w:t>
      </w:r>
      <w:r w:rsidRPr="00000502">
        <w:rPr>
          <w:rFonts w:cs="Times New Roman"/>
        </w:rPr>
        <w:t>latviešu valodā pa vienam eksemplāram katrai no Pusēm, tiem ir vienāds juridisks spēks. Visi pielikumi, papildinājumi un grozījumi tiek uzskatīti par neatņemamu Līguma sastāvdaļu.</w:t>
      </w:r>
    </w:p>
    <w:p w:rsidR="00000502" w:rsidRPr="00000502" w:rsidRDefault="00000502" w:rsidP="00000502">
      <w:pPr>
        <w:pStyle w:val="Sarakstarindkopa"/>
        <w:ind w:left="567" w:right="46"/>
        <w:jc w:val="both"/>
        <w:rPr>
          <w:rFonts w:cs="Times New Roman"/>
        </w:rPr>
      </w:pPr>
    </w:p>
    <w:p w:rsidR="00000502" w:rsidRPr="00000502" w:rsidRDefault="00000502" w:rsidP="00000502">
      <w:pPr>
        <w:pStyle w:val="Sarakstarindkopa"/>
        <w:numPr>
          <w:ilvl w:val="0"/>
          <w:numId w:val="4"/>
        </w:numPr>
        <w:ind w:right="46"/>
        <w:rPr>
          <w:rFonts w:cs="Times New Roman"/>
        </w:rPr>
      </w:pPr>
      <w:r w:rsidRPr="00000502">
        <w:rPr>
          <w:rFonts w:cs="Times New Roman"/>
          <w:b/>
        </w:rPr>
        <w:t>PUŠU REKVIZĪTI UN PARAKSTI</w:t>
      </w:r>
      <w:r w:rsidR="00280067" w:rsidRPr="00000502">
        <w:rPr>
          <w:rFonts w:cs="Times New Roman"/>
          <w:b/>
        </w:rPr>
        <w:t xml:space="preserve">  </w:t>
      </w:r>
    </w:p>
    <w:p w:rsidR="00000502" w:rsidRPr="00000502" w:rsidRDefault="00000502" w:rsidP="00000502">
      <w:pPr>
        <w:pStyle w:val="Sarakstarindkopa"/>
        <w:ind w:left="360"/>
        <w:jc w:val="both"/>
        <w:rPr>
          <w:rFonts w:cs="Times New Roman"/>
          <w:b/>
        </w:rPr>
      </w:pPr>
      <w:r w:rsidRPr="00000502">
        <w:rPr>
          <w:rFonts w:cs="Times New Roman"/>
          <w:b/>
        </w:rPr>
        <w:t>Izpildītājs</w:t>
      </w:r>
    </w:p>
    <w:tbl>
      <w:tblPr>
        <w:tblW w:w="9791" w:type="dxa"/>
        <w:tblLayout w:type="fixed"/>
        <w:tblCellMar>
          <w:left w:w="10" w:type="dxa"/>
          <w:right w:w="10" w:type="dxa"/>
        </w:tblCellMar>
        <w:tblLook w:val="0000" w:firstRow="0" w:lastRow="0" w:firstColumn="0" w:lastColumn="0" w:noHBand="0" w:noVBand="0"/>
      </w:tblPr>
      <w:tblGrid>
        <w:gridCol w:w="3908"/>
        <w:gridCol w:w="5883"/>
      </w:tblGrid>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Kontaktpersona:</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jc w:val="both"/>
              <w:rPr>
                <w:rFonts w:eastAsia="SimSun, 宋体" w:cs="Times New Roman"/>
                <w:lang w:val="de-DE" w:bidi="fa-IR"/>
              </w:rPr>
            </w:pP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Juridiskā adrese:</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E-pasta adrese rēķiniem/aktiem:</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Tehniskais atbalsts:</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Interneta vietne:</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Konts:</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p>
        </w:tc>
      </w:tr>
    </w:tbl>
    <w:p w:rsidR="00000502" w:rsidRPr="00000502" w:rsidRDefault="00000502" w:rsidP="00000502">
      <w:pPr>
        <w:pStyle w:val="Sarakstarindkopa"/>
        <w:ind w:left="360"/>
        <w:jc w:val="both"/>
        <w:rPr>
          <w:rFonts w:cs="Times New Roman"/>
        </w:rPr>
      </w:pPr>
    </w:p>
    <w:p w:rsidR="00000502" w:rsidRPr="00000502" w:rsidRDefault="00000502" w:rsidP="00000502">
      <w:pPr>
        <w:pStyle w:val="Sarakstarindkopa"/>
        <w:ind w:left="360"/>
        <w:jc w:val="both"/>
        <w:rPr>
          <w:rFonts w:cs="Times New Roman"/>
          <w:b/>
        </w:rPr>
      </w:pPr>
      <w:r w:rsidRPr="00000502">
        <w:rPr>
          <w:rFonts w:cs="Times New Roman"/>
          <w:b/>
        </w:rPr>
        <w:t>Klients</w:t>
      </w:r>
    </w:p>
    <w:tbl>
      <w:tblPr>
        <w:tblW w:w="9791" w:type="dxa"/>
        <w:tblLayout w:type="fixed"/>
        <w:tblCellMar>
          <w:left w:w="10" w:type="dxa"/>
          <w:right w:w="10" w:type="dxa"/>
        </w:tblCellMar>
        <w:tblLook w:val="0000" w:firstRow="0" w:lastRow="0" w:firstColumn="0" w:lastColumn="0" w:noHBand="0" w:noVBand="0"/>
      </w:tblPr>
      <w:tblGrid>
        <w:gridCol w:w="3908"/>
        <w:gridCol w:w="5883"/>
      </w:tblGrid>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Klients</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jc w:val="both"/>
              <w:rPr>
                <w:rFonts w:eastAsia="SimSun, 宋体" w:cs="Times New Roman"/>
                <w:lang w:val="de-DE" w:bidi="fa-IR"/>
              </w:rPr>
            </w:pPr>
            <w:r w:rsidRPr="00000502">
              <w:rPr>
                <w:rFonts w:eastAsia="SimSun, 宋体" w:cs="Times New Roman"/>
                <w:lang w:val="de-DE" w:bidi="fa-IR"/>
              </w:rPr>
              <w:t>Rīgas pašvaldības policija</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Juridiskā adrese:</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jc w:val="both"/>
              <w:rPr>
                <w:rFonts w:eastAsia="SimSun, 宋体" w:cs="Times New Roman"/>
                <w:lang w:val="de-DE" w:bidi="fa-IR"/>
              </w:rPr>
            </w:pPr>
            <w:r w:rsidRPr="00000502">
              <w:rPr>
                <w:rFonts w:eastAsia="SimSun, 宋体" w:cs="Times New Roman"/>
                <w:lang w:val="de-DE" w:bidi="fa-IR"/>
              </w:rPr>
              <w:t>Lomonosova iela 12a Rīga, LV-1019</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Kontaktpersona:</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jc w:val="both"/>
              <w:rPr>
                <w:rFonts w:eastAsia="SimSun, 宋体" w:cs="Times New Roman"/>
                <w:lang w:val="de-DE" w:bidi="fa-IR"/>
              </w:rPr>
            </w:pPr>
            <w:r w:rsidRPr="00000502">
              <w:rPr>
                <w:rFonts w:eastAsia="SimSun, 宋体" w:cs="Times New Roman"/>
                <w:lang w:val="de-DE" w:bidi="fa-IR"/>
              </w:rPr>
              <w:t>Marģers Ostrovskis</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E-pasta adrese aktiem:</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jc w:val="both"/>
              <w:rPr>
                <w:rFonts w:eastAsia="SimSun, 宋体" w:cs="Times New Roman"/>
                <w:lang w:val="de-DE" w:bidi="fa-IR"/>
              </w:rPr>
            </w:pPr>
            <w:r w:rsidRPr="00000502">
              <w:rPr>
                <w:rFonts w:eastAsia="SimSun, 宋体" w:cs="Times New Roman"/>
                <w:lang w:val="de-DE" w:bidi="fa-IR"/>
              </w:rPr>
              <w:t>margers.ostrovskis@riga.lv</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Klienta lietotājvārds Interneta vietnē:</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jc w:val="both"/>
              <w:rPr>
                <w:rFonts w:eastAsia="SimSun, 宋体" w:cs="Times New Roman"/>
                <w:lang w:val="de-DE" w:bidi="fa-IR"/>
              </w:rPr>
            </w:pPr>
            <w:r w:rsidRPr="00000502">
              <w:rPr>
                <w:rFonts w:eastAsia="SimSun, 宋体" w:cs="Times New Roman"/>
                <w:lang w:val="de-DE" w:bidi="fa-IR"/>
              </w:rPr>
              <w:t>margers.ostrovskis@riga.lv</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00502">
            <w:pPr>
              <w:snapToGrid w:val="0"/>
              <w:jc w:val="both"/>
              <w:rPr>
                <w:rFonts w:eastAsia="SimSun, 宋体" w:cs="Times New Roman"/>
                <w:lang w:val="de-DE" w:bidi="fa-IR"/>
              </w:rPr>
            </w:pPr>
            <w:r w:rsidRPr="00000502">
              <w:rPr>
                <w:rFonts w:eastAsia="SimSun, 宋体" w:cs="Times New Roman"/>
                <w:lang w:val="de-DE" w:bidi="fa-IR"/>
              </w:rPr>
              <w:t>Norēķinu rekvizīti:</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widowControl/>
              <w:suppressAutoHyphens w:val="0"/>
              <w:jc w:val="both"/>
              <w:rPr>
                <w:rFonts w:eastAsia="Times New Roman" w:cs="Times New Roman"/>
                <w:lang w:val="en-US"/>
              </w:rPr>
            </w:pPr>
            <w:r w:rsidRPr="00000502">
              <w:rPr>
                <w:rFonts w:eastAsia="Times New Roman" w:cs="Times New Roman"/>
                <w:lang w:val="en-US"/>
              </w:rPr>
              <w:t>Rīgas pilsētas pašvaldība</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F2ABA">
            <w:pPr>
              <w:snapToGrid w:val="0"/>
              <w:jc w:val="both"/>
              <w:rPr>
                <w:rFonts w:eastAsia="SimSun, 宋体" w:cs="Times New Roman"/>
                <w:lang w:val="de-DE" w:bidi="fa-IR"/>
              </w:rPr>
            </w:pPr>
            <w:r w:rsidRPr="00000502">
              <w:rPr>
                <w:rFonts w:eastAsia="SimSun, 宋体" w:cs="Times New Roman"/>
                <w:lang w:val="de-DE" w:bidi="fa-IR"/>
              </w:rPr>
              <w:t>Juridiskā adrese:</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widowControl/>
              <w:suppressAutoHyphens w:val="0"/>
              <w:jc w:val="both"/>
              <w:rPr>
                <w:rFonts w:eastAsia="Times New Roman" w:cs="Times New Roman"/>
                <w:lang w:val="en-US"/>
              </w:rPr>
            </w:pPr>
            <w:r w:rsidRPr="00000502">
              <w:rPr>
                <w:rFonts w:eastAsia="Times New Roman" w:cs="Times New Roman"/>
                <w:lang w:val="en-US"/>
              </w:rPr>
              <w:t>Rātslaukums 1, Rīga, LV-1050</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00502">
            <w:pPr>
              <w:snapToGrid w:val="0"/>
              <w:jc w:val="both"/>
              <w:rPr>
                <w:rFonts w:eastAsia="SimSun, 宋体" w:cs="Times New Roman"/>
                <w:lang w:val="de-DE" w:bidi="fa-IR"/>
              </w:rPr>
            </w:pPr>
            <w:r w:rsidRPr="00000502">
              <w:rPr>
                <w:rFonts w:eastAsia="SimSun, 宋体" w:cs="Times New Roman"/>
                <w:lang w:val="de-DE" w:bidi="fa-IR"/>
              </w:rPr>
              <w:t xml:space="preserve">NMR kods: </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widowControl/>
              <w:suppressAutoHyphens w:val="0"/>
              <w:jc w:val="both"/>
              <w:rPr>
                <w:rFonts w:eastAsia="Times New Roman" w:cs="Times New Roman"/>
                <w:lang w:val="en-US"/>
              </w:rPr>
            </w:pPr>
            <w:r w:rsidRPr="00000502">
              <w:rPr>
                <w:rFonts w:eastAsia="Times New Roman" w:cs="Times New Roman"/>
                <w:lang w:val="en-US"/>
              </w:rPr>
              <w:t>90011524360</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00502">
            <w:pPr>
              <w:snapToGrid w:val="0"/>
              <w:jc w:val="both"/>
              <w:rPr>
                <w:rFonts w:eastAsia="SimSun, 宋体" w:cs="Times New Roman"/>
                <w:lang w:val="de-DE" w:bidi="fa-IR"/>
              </w:rPr>
            </w:pPr>
            <w:r w:rsidRPr="00000502">
              <w:rPr>
                <w:rFonts w:eastAsia="SimSun, 宋体" w:cs="Times New Roman"/>
                <w:lang w:val="de-DE" w:bidi="fa-IR"/>
              </w:rPr>
              <w:t xml:space="preserve">PVN reģ.Nr. </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widowControl/>
              <w:suppressAutoHyphens w:val="0"/>
              <w:jc w:val="both"/>
              <w:rPr>
                <w:rFonts w:eastAsia="Times New Roman" w:cs="Times New Roman"/>
                <w:lang w:val="en-US"/>
              </w:rPr>
            </w:pPr>
            <w:r w:rsidRPr="00000502">
              <w:rPr>
                <w:rFonts w:eastAsia="Times New Roman" w:cs="Times New Roman"/>
                <w:lang w:val="en-US"/>
              </w:rPr>
              <w:t>LV90011524360</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00502">
            <w:pPr>
              <w:snapToGrid w:val="0"/>
              <w:jc w:val="both"/>
              <w:rPr>
                <w:rFonts w:eastAsia="SimSun, 宋体" w:cs="Times New Roman"/>
                <w:lang w:val="de-DE" w:bidi="fa-IR"/>
              </w:rPr>
            </w:pPr>
            <w:r w:rsidRPr="00000502">
              <w:rPr>
                <w:rFonts w:eastAsia="SimSun, 宋体" w:cs="Times New Roman"/>
                <w:lang w:val="de-DE" w:bidi="fa-IR"/>
              </w:rPr>
              <w:t xml:space="preserve">Banka: </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widowControl/>
              <w:suppressAutoHyphens w:val="0"/>
              <w:jc w:val="both"/>
              <w:rPr>
                <w:rFonts w:eastAsia="Times New Roman" w:cs="Times New Roman"/>
                <w:lang w:val="en-US"/>
              </w:rPr>
            </w:pPr>
            <w:r w:rsidRPr="00000502">
              <w:rPr>
                <w:rFonts w:eastAsia="Times New Roman" w:cs="Times New Roman"/>
                <w:lang w:val="en-US"/>
              </w:rPr>
              <w:t>AS “Luminor Bank”</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00502">
            <w:pPr>
              <w:snapToGrid w:val="0"/>
              <w:jc w:val="both"/>
              <w:rPr>
                <w:rFonts w:eastAsia="SimSun, 宋体" w:cs="Times New Roman"/>
                <w:lang w:val="de-DE" w:bidi="fa-IR"/>
              </w:rPr>
            </w:pPr>
            <w:r w:rsidRPr="00000502">
              <w:rPr>
                <w:rFonts w:eastAsia="SimSun, 宋体" w:cs="Times New Roman"/>
                <w:lang w:val="de-DE" w:bidi="fa-IR"/>
              </w:rPr>
              <w:t xml:space="preserve">Kods: </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widowControl/>
              <w:suppressAutoHyphens w:val="0"/>
              <w:jc w:val="both"/>
              <w:rPr>
                <w:rFonts w:eastAsia="Times New Roman" w:cs="Times New Roman"/>
                <w:lang w:val="en-US"/>
              </w:rPr>
            </w:pPr>
            <w:r w:rsidRPr="00000502">
              <w:rPr>
                <w:rFonts w:eastAsia="Times New Roman" w:cs="Times New Roman"/>
                <w:lang w:val="en-US"/>
              </w:rPr>
              <w:t>NDEALV2X</w:t>
            </w:r>
          </w:p>
        </w:tc>
      </w:tr>
      <w:tr w:rsidR="00000502" w:rsidRPr="00000502" w:rsidTr="000F2ABA">
        <w:trPr>
          <w:trHeight w:val="64"/>
        </w:trPr>
        <w:tc>
          <w:tcPr>
            <w:tcW w:w="3908" w:type="dxa"/>
            <w:tcBorders>
              <w:top w:val="single" w:sz="4" w:space="0" w:color="C0C0C0"/>
              <w:left w:val="single" w:sz="4" w:space="0" w:color="C0C0C0"/>
              <w:bottom w:val="single" w:sz="4" w:space="0" w:color="C0C0C0"/>
            </w:tcBorders>
            <w:tcMar>
              <w:top w:w="0" w:type="dxa"/>
              <w:left w:w="108" w:type="dxa"/>
              <w:bottom w:w="0" w:type="dxa"/>
              <w:right w:w="108" w:type="dxa"/>
            </w:tcMar>
          </w:tcPr>
          <w:p w:rsidR="00000502" w:rsidRPr="00000502" w:rsidRDefault="00000502" w:rsidP="00000502">
            <w:pPr>
              <w:snapToGrid w:val="0"/>
              <w:jc w:val="both"/>
              <w:rPr>
                <w:rFonts w:eastAsia="SimSun, 宋体" w:cs="Times New Roman"/>
                <w:lang w:val="de-DE" w:bidi="fa-IR"/>
              </w:rPr>
            </w:pPr>
            <w:r w:rsidRPr="00000502">
              <w:rPr>
                <w:rFonts w:eastAsia="SimSun, 宋体" w:cs="Times New Roman"/>
                <w:lang w:val="de-DE" w:bidi="fa-IR"/>
              </w:rPr>
              <w:t xml:space="preserve">Konts: </w:t>
            </w:r>
          </w:p>
        </w:tc>
        <w:tc>
          <w:tcPr>
            <w:tcW w:w="588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00502" w:rsidRPr="00000502" w:rsidRDefault="00000502" w:rsidP="000F2ABA">
            <w:pPr>
              <w:widowControl/>
              <w:suppressAutoHyphens w:val="0"/>
              <w:jc w:val="both"/>
              <w:rPr>
                <w:rFonts w:eastAsia="Times New Roman" w:cs="Times New Roman"/>
                <w:lang w:val="en-US"/>
              </w:rPr>
            </w:pPr>
            <w:r w:rsidRPr="00000502">
              <w:rPr>
                <w:rFonts w:eastAsia="Times New Roman" w:cs="Times New Roman"/>
                <w:lang w:val="en-US"/>
              </w:rPr>
              <w:t>LV82NDEA0021800014010</w:t>
            </w:r>
          </w:p>
        </w:tc>
      </w:tr>
    </w:tbl>
    <w:p w:rsidR="00000502" w:rsidRPr="00000502" w:rsidRDefault="00000502" w:rsidP="00000502">
      <w:pPr>
        <w:pStyle w:val="Sarakstarindkopa"/>
        <w:ind w:left="360" w:right="46"/>
        <w:rPr>
          <w:rFonts w:cs="Times New Roman"/>
        </w:rPr>
      </w:pPr>
    </w:p>
    <w:p w:rsidR="00000502" w:rsidRPr="00000502" w:rsidRDefault="00000502" w:rsidP="00000502">
      <w:pPr>
        <w:pStyle w:val="Sarakstarindkopa"/>
        <w:ind w:left="360" w:right="46"/>
        <w:rPr>
          <w:rFonts w:cs="Times New Roman"/>
          <w:b/>
        </w:rPr>
      </w:pPr>
      <w:r w:rsidRPr="00000502">
        <w:rPr>
          <w:rFonts w:cs="Times New Roman"/>
          <w:b/>
        </w:rPr>
        <w:t>SIA „Mapon“</w:t>
      </w:r>
      <w:r w:rsidR="00280067" w:rsidRPr="00000502">
        <w:rPr>
          <w:rFonts w:cs="Times New Roman"/>
          <w:b/>
        </w:rPr>
        <w:t xml:space="preserve">                                                                         </w:t>
      </w:r>
      <w:r w:rsidRPr="00000502">
        <w:rPr>
          <w:rFonts w:cs="Times New Roman"/>
          <w:b/>
        </w:rPr>
        <w:t>Rīgas pašvaldības policija</w:t>
      </w:r>
    </w:p>
    <w:p w:rsidR="00000502" w:rsidRPr="00000502" w:rsidRDefault="00000502" w:rsidP="00000502">
      <w:pPr>
        <w:pStyle w:val="Sarakstarindkopa"/>
        <w:ind w:left="360" w:right="46"/>
        <w:rPr>
          <w:rFonts w:cs="Times New Roman"/>
          <w:b/>
        </w:rPr>
      </w:pPr>
    </w:p>
    <w:p w:rsidR="00000502" w:rsidRPr="00000502" w:rsidRDefault="00000502" w:rsidP="00000502">
      <w:pPr>
        <w:pStyle w:val="Sarakstarindkopa"/>
        <w:ind w:left="360" w:right="46"/>
        <w:rPr>
          <w:rFonts w:cs="Times New Roman"/>
        </w:rPr>
      </w:pPr>
      <w:r w:rsidRPr="00000502">
        <w:rPr>
          <w:rFonts w:cs="Times New Roman"/>
        </w:rPr>
        <w:t>____________________                                                          ______________________</w:t>
      </w:r>
      <w:r w:rsidR="00280067" w:rsidRPr="00000502">
        <w:rPr>
          <w:rFonts w:cs="Times New Roman"/>
        </w:rPr>
        <w:t xml:space="preserve">       </w:t>
      </w:r>
    </w:p>
    <w:p w:rsidR="00000502" w:rsidRPr="00000502" w:rsidRDefault="00000502" w:rsidP="001A780A">
      <w:pPr>
        <w:pStyle w:val="Sarakstarindkopa"/>
        <w:ind w:left="6032" w:right="46" w:firstLine="349"/>
        <w:rPr>
          <w:rFonts w:cs="Times New Roman"/>
        </w:rPr>
      </w:pPr>
      <w:r w:rsidRPr="00000502">
        <w:rPr>
          <w:rFonts w:cs="Times New Roman"/>
        </w:rPr>
        <w:t>Policijas priekšnieks J.Lūkass</w:t>
      </w:r>
    </w:p>
    <w:p w:rsidR="00000502" w:rsidRPr="00000502" w:rsidRDefault="00000502" w:rsidP="00000502">
      <w:pPr>
        <w:pStyle w:val="Sarakstarindkopa"/>
        <w:ind w:left="360" w:right="46"/>
        <w:rPr>
          <w:rFonts w:cs="Times New Roman"/>
        </w:rPr>
      </w:pPr>
    </w:p>
    <w:p w:rsidR="00000502" w:rsidRPr="00000502" w:rsidRDefault="00000502" w:rsidP="00000502">
      <w:pPr>
        <w:pStyle w:val="Sarakstarindkopa"/>
        <w:ind w:left="360" w:right="46"/>
        <w:rPr>
          <w:rFonts w:cs="Times New Roman"/>
        </w:rPr>
      </w:pPr>
      <w:r w:rsidRPr="00000502">
        <w:rPr>
          <w:rFonts w:cs="Times New Roman"/>
        </w:rPr>
        <w:t xml:space="preserve">____________________   </w:t>
      </w:r>
    </w:p>
    <w:p w:rsidR="001A780A" w:rsidRDefault="001A780A" w:rsidP="00000502">
      <w:pPr>
        <w:pStyle w:val="Sarakstarindkopa"/>
        <w:ind w:left="360" w:right="46"/>
        <w:jc w:val="right"/>
        <w:rPr>
          <w:rFonts w:cs="Times New Roman"/>
          <w:b/>
        </w:rPr>
      </w:pPr>
      <w:bookmarkStart w:id="2" w:name="_GoBack"/>
      <w:bookmarkEnd w:id="2"/>
    </w:p>
    <w:sectPr w:rsidR="001A780A" w:rsidSect="00E65A79">
      <w:footerReference w:type="default" r:id="rId11"/>
      <w:type w:val="continuous"/>
      <w:pgSz w:w="11906" w:h="16838"/>
      <w:pgMar w:top="720" w:right="720" w:bottom="0" w:left="720" w:header="720" w:footer="45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18B" w:rsidRDefault="002F118B">
      <w:r>
        <w:separator/>
      </w:r>
    </w:p>
  </w:endnote>
  <w:endnote w:type="continuationSeparator" w:id="0">
    <w:p w:rsidR="002F118B" w:rsidRDefault="002F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바탕">
    <w:panose1 w:val="02020603050405020304"/>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宋体">
    <w:panose1 w:val="020B0604020202020204"/>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 Pro W3">
    <w:panose1 w:val="020B0604020202020204"/>
    <w:charset w:val="00"/>
    <w:family w:val="auto"/>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B84" w:rsidRDefault="007A6B84">
    <w:pPr>
      <w:pStyle w:val="Standard"/>
      <w:jc w:val="right"/>
      <w:rPr>
        <w:sz w:val="14"/>
        <w:szCs w:val="14"/>
      </w:rPr>
    </w:pPr>
    <w:r>
      <w:rPr>
        <w:rFonts w:ascii="Arial" w:hAnsi="Arial" w:cs="Arial"/>
        <w:sz w:val="14"/>
        <w:szCs w:val="14"/>
      </w:rPr>
      <w:t xml:space="preserve">                                                                                                      </w:t>
    </w:r>
    <w:r>
      <w:rPr>
        <w:rFonts w:ascii="Arial" w:hAnsi="Arial" w:cs="Arial"/>
        <w:sz w:val="14"/>
        <w:szCs w:val="14"/>
      </w:rPr>
      <w:fldChar w:fldCharType="begin"/>
    </w:r>
    <w:r>
      <w:rPr>
        <w:rFonts w:ascii="Arial" w:hAnsi="Arial" w:cs="Arial"/>
        <w:sz w:val="14"/>
        <w:szCs w:val="14"/>
      </w:rPr>
      <w:instrText xml:space="preserve"> PAGE </w:instrText>
    </w:r>
    <w:r>
      <w:rPr>
        <w:rFonts w:ascii="Arial" w:hAnsi="Arial" w:cs="Arial"/>
        <w:sz w:val="14"/>
        <w:szCs w:val="14"/>
      </w:rPr>
      <w:fldChar w:fldCharType="separate"/>
    </w:r>
    <w:r w:rsidR="002E56D6">
      <w:rPr>
        <w:rFonts w:ascii="Arial" w:hAnsi="Arial" w:cs="Arial"/>
        <w:noProof/>
        <w:sz w:val="14"/>
        <w:szCs w:val="14"/>
      </w:rPr>
      <w:t>6</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w:instrText>
    </w:r>
    <w:r>
      <w:rPr>
        <w:rFonts w:ascii="Arial" w:hAnsi="Arial" w:cs="Arial"/>
        <w:sz w:val="14"/>
        <w:szCs w:val="14"/>
      </w:rPr>
      <w:fldChar w:fldCharType="separate"/>
    </w:r>
    <w:r w:rsidR="002E56D6">
      <w:rPr>
        <w:rFonts w:ascii="Arial" w:hAnsi="Arial" w:cs="Arial"/>
        <w:noProof/>
        <w:sz w:val="14"/>
        <w:szCs w:val="14"/>
      </w:rPr>
      <w:t>9</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18B" w:rsidRDefault="002F118B">
      <w:r>
        <w:rPr>
          <w:color w:val="000000"/>
        </w:rPr>
        <w:separator/>
      </w:r>
    </w:p>
  </w:footnote>
  <w:footnote w:type="continuationSeparator" w:id="0">
    <w:p w:rsidR="002F118B" w:rsidRDefault="002F1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EF5"/>
    <w:multiLevelType w:val="multilevel"/>
    <w:tmpl w:val="F350C326"/>
    <w:styleLink w:val="WW8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56825E0"/>
    <w:multiLevelType w:val="multilevel"/>
    <w:tmpl w:val="9F32BF90"/>
    <w:styleLink w:val="WW8Num4"/>
    <w:lvl w:ilvl="0">
      <w:start w:val="4"/>
      <w:numFmt w:val="decimal"/>
      <w:lvlText w:val="%1."/>
      <w:lvlJc w:val="left"/>
      <w:pPr>
        <w:ind w:left="360" w:hanging="360"/>
      </w:pPr>
      <w:rPr>
        <w:rFonts w:ascii="Arial" w:hAnsi="Arial"/>
        <w:b w:val="0"/>
        <w:bCs w:val="0"/>
        <w:sz w:val="14"/>
        <w:szCs w:val="14"/>
      </w:rPr>
    </w:lvl>
    <w:lvl w:ilvl="1">
      <w:start w:val="1"/>
      <w:numFmt w:val="decimal"/>
      <w:lvlText w:val="%1.%2."/>
      <w:lvlJc w:val="left"/>
      <w:pPr>
        <w:ind w:left="360" w:hanging="360"/>
      </w:pPr>
      <w:rPr>
        <w:rFonts w:ascii="Arial" w:eastAsia="Batang, 바탕" w:hAnsi="Arial" w:cs="Arial"/>
        <w:sz w:val="14"/>
        <w:szCs w:val="1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B014A0F"/>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0BF97084"/>
    <w:multiLevelType w:val="hybridMultilevel"/>
    <w:tmpl w:val="6E624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173C54"/>
    <w:multiLevelType w:val="multilevel"/>
    <w:tmpl w:val="979A6790"/>
    <w:styleLink w:val="WW8Num2"/>
    <w:lvl w:ilvl="0">
      <w:start w:val="3"/>
      <w:numFmt w:val="decimal"/>
      <w:lvlText w:val="%1."/>
      <w:lvlJc w:val="left"/>
      <w:pPr>
        <w:ind w:left="360" w:hanging="360"/>
      </w:pPr>
      <w:rPr>
        <w:rFonts w:ascii="Arial" w:hAnsi="Arial" w:cs="Times New Roman"/>
        <w:color w:val="000000"/>
        <w:sz w:val="14"/>
        <w:szCs w:val="14"/>
      </w:rPr>
    </w:lvl>
    <w:lvl w:ilvl="1">
      <w:start w:val="1"/>
      <w:numFmt w:val="decimal"/>
      <w:lvlText w:val="%1.%2."/>
      <w:lvlJc w:val="left"/>
      <w:pPr>
        <w:ind w:left="360" w:hanging="360"/>
      </w:pPr>
      <w:rPr>
        <w:rFonts w:ascii="Arial" w:hAnsi="Arial" w:cs="Times New Roman"/>
        <w:color w:val="000000"/>
        <w:sz w:val="14"/>
        <w:szCs w:val="14"/>
      </w:rPr>
    </w:lvl>
    <w:lvl w:ilvl="2">
      <w:start w:val="1"/>
      <w:numFmt w:val="decimal"/>
      <w:lvlText w:val="%1.%2.%3."/>
      <w:lvlJc w:val="left"/>
      <w:pPr>
        <w:ind w:left="720" w:hanging="720"/>
      </w:pPr>
      <w:rPr>
        <w:rFonts w:ascii="Arial" w:hAnsi="Arial" w:cs="Times New Roman"/>
        <w:color w:val="000000"/>
        <w:sz w:val="14"/>
        <w:szCs w:val="14"/>
      </w:rPr>
    </w:lvl>
    <w:lvl w:ilvl="3">
      <w:start w:val="1"/>
      <w:numFmt w:val="decimal"/>
      <w:lvlText w:val="%1.%2.%3.%4."/>
      <w:lvlJc w:val="left"/>
      <w:pPr>
        <w:ind w:left="720" w:hanging="720"/>
      </w:pPr>
      <w:rPr>
        <w:rFonts w:ascii="Arial" w:hAnsi="Arial" w:cs="Times New Roman"/>
        <w:color w:val="000000"/>
        <w:sz w:val="14"/>
        <w:szCs w:val="14"/>
      </w:rPr>
    </w:lvl>
    <w:lvl w:ilvl="4">
      <w:start w:val="1"/>
      <w:numFmt w:val="decimal"/>
      <w:lvlText w:val="%1.%2.%3.%4.%5."/>
      <w:lvlJc w:val="left"/>
      <w:pPr>
        <w:ind w:left="1080" w:hanging="1080"/>
      </w:pPr>
      <w:rPr>
        <w:rFonts w:ascii="Arial" w:hAnsi="Arial" w:cs="Times New Roman"/>
        <w:color w:val="000000"/>
        <w:sz w:val="14"/>
        <w:szCs w:val="14"/>
      </w:rPr>
    </w:lvl>
    <w:lvl w:ilvl="5">
      <w:start w:val="1"/>
      <w:numFmt w:val="decimal"/>
      <w:lvlText w:val="%1.%2.%3.%4.%5.%6."/>
      <w:lvlJc w:val="left"/>
      <w:pPr>
        <w:ind w:left="1080" w:hanging="1080"/>
      </w:pPr>
      <w:rPr>
        <w:rFonts w:ascii="Arial" w:hAnsi="Arial" w:cs="Times New Roman"/>
        <w:color w:val="000000"/>
        <w:sz w:val="14"/>
        <w:szCs w:val="14"/>
      </w:rPr>
    </w:lvl>
    <w:lvl w:ilvl="6">
      <w:start w:val="1"/>
      <w:numFmt w:val="decimal"/>
      <w:lvlText w:val="%1.%2.%3.%4.%5.%6.%7."/>
      <w:lvlJc w:val="left"/>
      <w:pPr>
        <w:ind w:left="1080" w:hanging="1080"/>
      </w:pPr>
      <w:rPr>
        <w:rFonts w:ascii="Arial" w:hAnsi="Arial" w:cs="Times New Roman"/>
        <w:color w:val="000000"/>
        <w:sz w:val="14"/>
        <w:szCs w:val="14"/>
      </w:rPr>
    </w:lvl>
    <w:lvl w:ilvl="7">
      <w:start w:val="1"/>
      <w:numFmt w:val="decimal"/>
      <w:lvlText w:val="%1.%2.%3.%4.%5.%6.%7.%8."/>
      <w:lvlJc w:val="left"/>
      <w:pPr>
        <w:ind w:left="1440" w:hanging="1440"/>
      </w:pPr>
      <w:rPr>
        <w:rFonts w:ascii="Arial" w:hAnsi="Arial" w:cs="Times New Roman"/>
        <w:color w:val="000000"/>
        <w:sz w:val="14"/>
        <w:szCs w:val="14"/>
      </w:rPr>
    </w:lvl>
    <w:lvl w:ilvl="8">
      <w:start w:val="1"/>
      <w:numFmt w:val="decimal"/>
      <w:lvlText w:val="%1.%2.%3.%4.%5.%6.%7.%8.%9."/>
      <w:lvlJc w:val="left"/>
      <w:pPr>
        <w:ind w:left="1440" w:hanging="1440"/>
      </w:pPr>
      <w:rPr>
        <w:rFonts w:ascii="Arial" w:hAnsi="Arial" w:cs="Times New Roman"/>
        <w:color w:val="000000"/>
        <w:sz w:val="14"/>
        <w:szCs w:val="14"/>
      </w:rPr>
    </w:lvl>
  </w:abstractNum>
  <w:abstractNum w:abstractNumId="5"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6" w15:restartNumberingAfterBreak="0">
    <w:nsid w:val="4CE8226B"/>
    <w:multiLevelType w:val="hybridMultilevel"/>
    <w:tmpl w:val="3D7E80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5DB69FB"/>
    <w:multiLevelType w:val="multilevel"/>
    <w:tmpl w:val="425E85FE"/>
    <w:styleLink w:val="WW8Num3"/>
    <w:lvl w:ilvl="0">
      <w:start w:val="1"/>
      <w:numFmt w:val="decimal"/>
      <w:lvlText w:val="%1."/>
      <w:lvlJc w:val="left"/>
      <w:pPr>
        <w:ind w:left="720" w:hanging="360"/>
      </w:pPr>
      <w:rPr>
        <w:rFonts w:ascii="Arial" w:hAnsi="Arial" w:cs="Times New Roman"/>
        <w:sz w:val="14"/>
        <w:szCs w:val="14"/>
      </w:rPr>
    </w:lvl>
    <w:lvl w:ilvl="1">
      <w:start w:val="2"/>
      <w:numFmt w:val="decimal"/>
      <w:lvlText w:val="%1.%2."/>
      <w:lvlJc w:val="left"/>
      <w:pPr>
        <w:ind w:left="720" w:hanging="360"/>
      </w:pPr>
      <w:rPr>
        <w:rFonts w:ascii="Arial" w:hAnsi="Arial" w:cs="Times New Roman"/>
        <w:sz w:val="14"/>
        <w:szCs w:val="14"/>
      </w:rPr>
    </w:lvl>
    <w:lvl w:ilvl="2">
      <w:start w:val="1"/>
      <w:numFmt w:val="decimal"/>
      <w:lvlText w:val="%1.%2.%3."/>
      <w:lvlJc w:val="left"/>
      <w:pPr>
        <w:ind w:left="1080" w:hanging="720"/>
      </w:pPr>
      <w:rPr>
        <w:rFonts w:ascii="Arial" w:hAnsi="Arial" w:cs="Times New Roman"/>
        <w:sz w:val="14"/>
        <w:szCs w:val="14"/>
      </w:rPr>
    </w:lvl>
    <w:lvl w:ilvl="3">
      <w:start w:val="1"/>
      <w:numFmt w:val="decimal"/>
      <w:lvlText w:val="%1.%2.%3.%4."/>
      <w:lvlJc w:val="left"/>
      <w:pPr>
        <w:ind w:left="1080" w:hanging="720"/>
      </w:pPr>
      <w:rPr>
        <w:rFonts w:ascii="Arial" w:hAnsi="Arial" w:cs="Times New Roman"/>
        <w:sz w:val="14"/>
        <w:szCs w:val="14"/>
      </w:rPr>
    </w:lvl>
    <w:lvl w:ilvl="4">
      <w:start w:val="1"/>
      <w:numFmt w:val="decimal"/>
      <w:lvlText w:val="%1.%2.%3.%4.%5."/>
      <w:lvlJc w:val="left"/>
      <w:pPr>
        <w:ind w:left="1440" w:hanging="1080"/>
      </w:pPr>
      <w:rPr>
        <w:rFonts w:ascii="Arial" w:hAnsi="Arial" w:cs="Times New Roman"/>
        <w:sz w:val="14"/>
        <w:szCs w:val="14"/>
      </w:rPr>
    </w:lvl>
    <w:lvl w:ilvl="5">
      <w:start w:val="1"/>
      <w:numFmt w:val="decimal"/>
      <w:lvlText w:val="%1.%2.%3.%4.%5.%6."/>
      <w:lvlJc w:val="left"/>
      <w:pPr>
        <w:ind w:left="1440" w:hanging="1080"/>
      </w:pPr>
      <w:rPr>
        <w:rFonts w:ascii="Arial" w:hAnsi="Arial" w:cs="Times New Roman"/>
        <w:sz w:val="14"/>
        <w:szCs w:val="14"/>
      </w:rPr>
    </w:lvl>
    <w:lvl w:ilvl="6">
      <w:start w:val="1"/>
      <w:numFmt w:val="decimal"/>
      <w:lvlText w:val="%1.%2.%3.%4.%5.%6.%7."/>
      <w:lvlJc w:val="left"/>
      <w:pPr>
        <w:ind w:left="1440" w:hanging="1080"/>
      </w:pPr>
      <w:rPr>
        <w:rFonts w:ascii="Arial" w:hAnsi="Arial" w:cs="Times New Roman"/>
        <w:sz w:val="14"/>
        <w:szCs w:val="14"/>
      </w:rPr>
    </w:lvl>
    <w:lvl w:ilvl="7">
      <w:start w:val="1"/>
      <w:numFmt w:val="decimal"/>
      <w:lvlText w:val="%1.%2.%3.%4.%5.%6.%7.%8."/>
      <w:lvlJc w:val="left"/>
      <w:pPr>
        <w:ind w:left="1800" w:hanging="1440"/>
      </w:pPr>
      <w:rPr>
        <w:rFonts w:ascii="Arial" w:hAnsi="Arial" w:cs="Times New Roman"/>
        <w:sz w:val="14"/>
        <w:szCs w:val="14"/>
      </w:rPr>
    </w:lvl>
    <w:lvl w:ilvl="8">
      <w:start w:val="1"/>
      <w:numFmt w:val="decimal"/>
      <w:lvlText w:val="%1.%2.%3.%4.%5.%6.%7.%8.%9."/>
      <w:lvlJc w:val="left"/>
      <w:pPr>
        <w:ind w:left="1800" w:hanging="1440"/>
      </w:pPr>
      <w:rPr>
        <w:rFonts w:ascii="Arial" w:hAnsi="Arial" w:cs="Times New Roman"/>
        <w:sz w:val="14"/>
        <w:szCs w:val="14"/>
      </w:rPr>
    </w:lvl>
  </w:abstractNum>
  <w:abstractNum w:abstractNumId="8" w15:restartNumberingAfterBreak="0">
    <w:nsid w:val="69495E7B"/>
    <w:multiLevelType w:val="multilevel"/>
    <w:tmpl w:val="20FCED6E"/>
    <w:styleLink w:val="WW8Num1"/>
    <w:lvl w:ilvl="0">
      <w:start w:val="1"/>
      <w:numFmt w:val="decimal"/>
      <w:lvlText w:val="%1."/>
      <w:lvlJc w:val="left"/>
      <w:pPr>
        <w:ind w:left="480" w:hanging="480"/>
      </w:pPr>
      <w:rPr>
        <w:rFonts w:ascii="Arial" w:hAnsi="Arial" w:cs="Times New Roman"/>
        <w:sz w:val="14"/>
        <w:szCs w:val="14"/>
      </w:rPr>
    </w:lvl>
    <w:lvl w:ilvl="1">
      <w:start w:val="1"/>
      <w:numFmt w:val="decimal"/>
      <w:lvlText w:val="%1.%2."/>
      <w:lvlJc w:val="left"/>
      <w:pPr>
        <w:ind w:left="720" w:hanging="720"/>
      </w:pPr>
      <w:rPr>
        <w:rFonts w:ascii="Arial" w:hAnsi="Arial" w:cs="Times New Roman"/>
        <w:sz w:val="14"/>
        <w:szCs w:val="14"/>
      </w:rPr>
    </w:lvl>
    <w:lvl w:ilvl="2">
      <w:start w:val="1"/>
      <w:numFmt w:val="decimal"/>
      <w:lvlText w:val="%1.%2.%3."/>
      <w:lvlJc w:val="left"/>
      <w:pPr>
        <w:ind w:left="720" w:hanging="720"/>
      </w:pPr>
      <w:rPr>
        <w:rFonts w:ascii="Arial" w:hAnsi="Arial" w:cs="Times New Roman"/>
        <w:sz w:val="14"/>
        <w:szCs w:val="14"/>
      </w:rPr>
    </w:lvl>
    <w:lvl w:ilvl="3">
      <w:start w:val="1"/>
      <w:numFmt w:val="decimal"/>
      <w:lvlText w:val="%1.%2.%3.%4."/>
      <w:lvlJc w:val="left"/>
      <w:pPr>
        <w:ind w:left="1080" w:hanging="1080"/>
      </w:pPr>
      <w:rPr>
        <w:rFonts w:ascii="Arial" w:hAnsi="Arial" w:cs="Times New Roman"/>
        <w:sz w:val="14"/>
        <w:szCs w:val="14"/>
      </w:rPr>
    </w:lvl>
    <w:lvl w:ilvl="4">
      <w:start w:val="1"/>
      <w:numFmt w:val="decimal"/>
      <w:lvlText w:val="%1.%2.%3.%4.%5."/>
      <w:lvlJc w:val="left"/>
      <w:pPr>
        <w:ind w:left="1080" w:hanging="1080"/>
      </w:pPr>
      <w:rPr>
        <w:rFonts w:ascii="Arial" w:hAnsi="Arial" w:cs="Times New Roman"/>
        <w:sz w:val="14"/>
        <w:szCs w:val="14"/>
      </w:rPr>
    </w:lvl>
    <w:lvl w:ilvl="5">
      <w:start w:val="1"/>
      <w:numFmt w:val="decimal"/>
      <w:lvlText w:val="%1.%2.%3.%4.%5.%6."/>
      <w:lvlJc w:val="left"/>
      <w:pPr>
        <w:ind w:left="1440" w:hanging="1440"/>
      </w:pPr>
      <w:rPr>
        <w:rFonts w:ascii="Arial" w:hAnsi="Arial" w:cs="Times New Roman"/>
        <w:sz w:val="14"/>
        <w:szCs w:val="14"/>
      </w:rPr>
    </w:lvl>
    <w:lvl w:ilvl="6">
      <w:start w:val="1"/>
      <w:numFmt w:val="decimal"/>
      <w:lvlText w:val="%1.%2.%3.%4.%5.%6.%7."/>
      <w:lvlJc w:val="left"/>
      <w:pPr>
        <w:ind w:left="1440" w:hanging="1440"/>
      </w:pPr>
      <w:rPr>
        <w:rFonts w:ascii="Arial" w:hAnsi="Arial" w:cs="Times New Roman"/>
        <w:sz w:val="14"/>
        <w:szCs w:val="14"/>
      </w:rPr>
    </w:lvl>
    <w:lvl w:ilvl="7">
      <w:start w:val="1"/>
      <w:numFmt w:val="decimal"/>
      <w:lvlText w:val="%1.%2.%3.%4.%5.%6.%7.%8."/>
      <w:lvlJc w:val="left"/>
      <w:pPr>
        <w:ind w:left="1800" w:hanging="1800"/>
      </w:pPr>
      <w:rPr>
        <w:rFonts w:ascii="Arial" w:hAnsi="Arial" w:cs="Times New Roman"/>
        <w:sz w:val="14"/>
        <w:szCs w:val="14"/>
      </w:rPr>
    </w:lvl>
    <w:lvl w:ilvl="8">
      <w:start w:val="1"/>
      <w:numFmt w:val="decimal"/>
      <w:lvlText w:val="%1.%2.%3.%4.%5.%6.%7.%8.%9."/>
      <w:lvlJc w:val="left"/>
      <w:pPr>
        <w:ind w:left="1800" w:hanging="1800"/>
      </w:pPr>
      <w:rPr>
        <w:rFonts w:ascii="Arial" w:hAnsi="Arial" w:cs="Times New Roman"/>
        <w:sz w:val="14"/>
        <w:szCs w:val="14"/>
      </w:rPr>
    </w:lvl>
  </w:abstractNum>
  <w:num w:numId="1">
    <w:abstractNumId w:val="8"/>
    <w:lvlOverride w:ilvl="0">
      <w:lvl w:ilvl="0">
        <w:start w:val="1"/>
        <w:numFmt w:val="decimal"/>
        <w:lvlText w:val="%1."/>
        <w:lvlJc w:val="left"/>
        <w:pPr>
          <w:ind w:left="480" w:hanging="480"/>
        </w:pPr>
        <w:rPr>
          <w:rFonts w:ascii="Arial" w:hAnsi="Arial" w:cs="Arial" w:hint="default"/>
          <w:sz w:val="26"/>
          <w:szCs w:val="26"/>
        </w:rPr>
      </w:lvl>
    </w:lvlOverride>
    <w:lvlOverride w:ilvl="1">
      <w:lvl w:ilvl="1">
        <w:start w:val="1"/>
        <w:numFmt w:val="decimal"/>
        <w:lvlText w:val="%1.%2."/>
        <w:lvlJc w:val="left"/>
        <w:pPr>
          <w:ind w:left="720" w:hanging="720"/>
        </w:pPr>
        <w:rPr>
          <w:rFonts w:ascii="Times New Roman" w:hAnsi="Times New Roman" w:cs="Times New Roman" w:hint="default"/>
          <w:sz w:val="26"/>
          <w:szCs w:val="26"/>
        </w:rPr>
      </w:lvl>
    </w:lvlOverride>
  </w:num>
  <w:num w:numId="2">
    <w:abstractNumId w:val="4"/>
    <w:lvlOverride w:ilvl="1">
      <w:lvl w:ilvl="1">
        <w:start w:val="1"/>
        <w:numFmt w:val="decimal"/>
        <w:lvlText w:val="%1.%2."/>
        <w:lvlJc w:val="left"/>
        <w:pPr>
          <w:ind w:left="360" w:hanging="360"/>
        </w:pPr>
        <w:rPr>
          <w:rFonts w:ascii="Times New Roman" w:hAnsi="Times New Roman" w:cs="Times New Roman" w:hint="default"/>
          <w:color w:val="000000"/>
          <w:sz w:val="26"/>
          <w:szCs w:val="26"/>
        </w:rPr>
      </w:lvl>
    </w:lvlOverride>
    <w:lvlOverride w:ilvl="2">
      <w:lvl w:ilvl="2">
        <w:start w:val="1"/>
        <w:numFmt w:val="decimal"/>
        <w:lvlText w:val="%1.%2.%3."/>
        <w:lvlJc w:val="left"/>
        <w:pPr>
          <w:ind w:left="720" w:hanging="720"/>
        </w:pPr>
        <w:rPr>
          <w:rFonts w:ascii="Times New Roman" w:hAnsi="Times New Roman" w:cs="Times New Roman" w:hint="default"/>
          <w:color w:val="000000"/>
          <w:sz w:val="26"/>
          <w:szCs w:val="26"/>
        </w:rPr>
      </w:lvl>
    </w:lvlOverride>
  </w:num>
  <w:num w:numId="3">
    <w:abstractNumId w:val="7"/>
    <w:lvlOverride w:ilvl="0">
      <w:lvl w:ilvl="0">
        <w:start w:val="1"/>
        <w:numFmt w:val="decimal"/>
        <w:lvlText w:val="%1."/>
        <w:lvlJc w:val="left"/>
        <w:pPr>
          <w:ind w:left="720" w:hanging="360"/>
        </w:pPr>
        <w:rPr>
          <w:rFonts w:ascii="Arial" w:hAnsi="Arial" w:cs="Times New Roman"/>
          <w:sz w:val="26"/>
          <w:szCs w:val="26"/>
        </w:rPr>
      </w:lvl>
    </w:lvlOverride>
    <w:lvlOverride w:ilvl="1">
      <w:lvl w:ilvl="1">
        <w:start w:val="2"/>
        <w:numFmt w:val="decimal"/>
        <w:lvlText w:val="%1.%2."/>
        <w:lvlJc w:val="left"/>
        <w:pPr>
          <w:ind w:left="720" w:hanging="360"/>
        </w:pPr>
        <w:rPr>
          <w:rFonts w:ascii="Times New Roman" w:hAnsi="Times New Roman" w:cs="Times New Roman" w:hint="default"/>
          <w:color w:val="000000" w:themeColor="text1"/>
          <w:sz w:val="26"/>
          <w:szCs w:val="26"/>
        </w:rPr>
      </w:lvl>
    </w:lvlOverride>
    <w:lvlOverride w:ilvl="2">
      <w:lvl w:ilvl="2">
        <w:start w:val="1"/>
        <w:numFmt w:val="decimal"/>
        <w:lvlText w:val="%1.%2.%3."/>
        <w:lvlJc w:val="left"/>
        <w:pPr>
          <w:ind w:left="1080" w:hanging="720"/>
        </w:pPr>
        <w:rPr>
          <w:rFonts w:ascii="Times New Roman" w:hAnsi="Times New Roman" w:cs="Times New Roman" w:hint="default"/>
          <w:sz w:val="26"/>
          <w:szCs w:val="26"/>
        </w:rPr>
      </w:lvl>
    </w:lvlOverride>
  </w:num>
  <w:num w:numId="4">
    <w:abstractNumId w:val="1"/>
    <w:lvlOverride w:ilvl="0">
      <w:lvl w:ilvl="0">
        <w:start w:val="4"/>
        <w:numFmt w:val="decimal"/>
        <w:lvlText w:val="%1."/>
        <w:lvlJc w:val="left"/>
        <w:pPr>
          <w:ind w:left="360" w:hanging="360"/>
        </w:pPr>
        <w:rPr>
          <w:rFonts w:ascii="Times New Roman" w:hAnsi="Times New Roman" w:cs="Times New Roman" w:hint="default"/>
          <w:b w:val="0"/>
          <w:bCs w:val="0"/>
          <w:sz w:val="26"/>
          <w:szCs w:val="26"/>
        </w:rPr>
      </w:lvl>
    </w:lvlOverride>
    <w:lvlOverride w:ilvl="1">
      <w:lvl w:ilvl="1">
        <w:start w:val="1"/>
        <w:numFmt w:val="decimal"/>
        <w:lvlText w:val="%1.%2."/>
        <w:lvlJc w:val="left"/>
        <w:pPr>
          <w:ind w:left="360" w:hanging="360"/>
        </w:pPr>
        <w:rPr>
          <w:rFonts w:ascii="Times New Roman" w:eastAsia="Batang, 바탕" w:hAnsi="Times New Roman" w:cs="Times New Roman" w:hint="default"/>
          <w:sz w:val="26"/>
          <w:szCs w:val="26"/>
        </w:rPr>
      </w:lvl>
    </w:lvlOverride>
  </w:num>
  <w:num w:numId="5">
    <w:abstractNumId w:val="0"/>
  </w:num>
  <w:num w:numId="6">
    <w:abstractNumId w:val="7"/>
    <w:lvlOverride w:ilvl="0">
      <w:startOverride w:val="1"/>
      <w:lvl w:ilvl="0">
        <w:start w:val="1"/>
        <w:numFmt w:val="decimal"/>
        <w:lvlText w:val="%1."/>
        <w:lvlJc w:val="left"/>
        <w:pPr>
          <w:ind w:left="720" w:hanging="360"/>
        </w:pPr>
        <w:rPr>
          <w:rFonts w:ascii="Arial" w:hAnsi="Arial" w:cs="Times New Roman"/>
          <w:sz w:val="26"/>
          <w:szCs w:val="26"/>
        </w:rPr>
      </w:lvl>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C278E"/>
    <w:rsid w:val="00000502"/>
    <w:rsid w:val="00045F2D"/>
    <w:rsid w:val="0007477B"/>
    <w:rsid w:val="000758C5"/>
    <w:rsid w:val="00135F6E"/>
    <w:rsid w:val="001A780A"/>
    <w:rsid w:val="001C278E"/>
    <w:rsid w:val="001D08A0"/>
    <w:rsid w:val="001F2D8D"/>
    <w:rsid w:val="001F5D51"/>
    <w:rsid w:val="00243CB8"/>
    <w:rsid w:val="00275DC6"/>
    <w:rsid w:val="00280067"/>
    <w:rsid w:val="00285F5F"/>
    <w:rsid w:val="002A732F"/>
    <w:rsid w:val="002E56D6"/>
    <w:rsid w:val="002F118B"/>
    <w:rsid w:val="0036083F"/>
    <w:rsid w:val="003A3CFE"/>
    <w:rsid w:val="003B0F34"/>
    <w:rsid w:val="003B7AF7"/>
    <w:rsid w:val="00453CB0"/>
    <w:rsid w:val="00491565"/>
    <w:rsid w:val="00491EAB"/>
    <w:rsid w:val="004A1523"/>
    <w:rsid w:val="004C3C03"/>
    <w:rsid w:val="005770DC"/>
    <w:rsid w:val="00593C0C"/>
    <w:rsid w:val="005B6184"/>
    <w:rsid w:val="005B730B"/>
    <w:rsid w:val="005F44E1"/>
    <w:rsid w:val="0060083A"/>
    <w:rsid w:val="00617E6B"/>
    <w:rsid w:val="00660CC6"/>
    <w:rsid w:val="0066280B"/>
    <w:rsid w:val="006F1490"/>
    <w:rsid w:val="00796E0E"/>
    <w:rsid w:val="007A6B84"/>
    <w:rsid w:val="007D4E20"/>
    <w:rsid w:val="007F7D15"/>
    <w:rsid w:val="00817AEE"/>
    <w:rsid w:val="00885811"/>
    <w:rsid w:val="008F53CE"/>
    <w:rsid w:val="00961CA7"/>
    <w:rsid w:val="009D2119"/>
    <w:rsid w:val="00A02A34"/>
    <w:rsid w:val="00A43D95"/>
    <w:rsid w:val="00AB0610"/>
    <w:rsid w:val="00AB1008"/>
    <w:rsid w:val="00AC64BC"/>
    <w:rsid w:val="00AF47EB"/>
    <w:rsid w:val="00BC4E79"/>
    <w:rsid w:val="00C80D68"/>
    <w:rsid w:val="00CB5153"/>
    <w:rsid w:val="00CE0D47"/>
    <w:rsid w:val="00CE2370"/>
    <w:rsid w:val="00D05C0F"/>
    <w:rsid w:val="00D3232B"/>
    <w:rsid w:val="00D35C47"/>
    <w:rsid w:val="00DE0F2A"/>
    <w:rsid w:val="00E24983"/>
    <w:rsid w:val="00E65A79"/>
    <w:rsid w:val="00E8150A"/>
    <w:rsid w:val="00F0241F"/>
    <w:rsid w:val="00FB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8691"/>
  <w15:docId w15:val="{CCBCECD7-0605-4A19-991A-0C1FF704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lv-LV" w:eastAsia="lv-LV"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rPr>
      <w:rFonts w:eastAsia="SimSun, 宋体"/>
      <w:lang w:val="de-DE" w:bidi="fa-I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Arial" w:hAnsi="Arial" w:cs="Arial"/>
      <w:sz w:val="22"/>
      <w:szCs w:val="20"/>
      <w:lang w:val="en-US"/>
    </w:rPr>
  </w:style>
  <w:style w:type="paragraph" w:styleId="Saraksts">
    <w:name w:val="List"/>
    <w:basedOn w:val="Textbody"/>
    <w:rPr>
      <w:rFonts w:cs="Mangal"/>
    </w:rPr>
  </w:style>
  <w:style w:type="paragraph" w:styleId="Parakstszemobjekt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amatteksts2">
    <w:name w:val="Body Text 2"/>
    <w:basedOn w:val="Standard"/>
    <w:pPr>
      <w:jc w:val="both"/>
    </w:pPr>
    <w:rPr>
      <w:rFonts w:ascii="Arial" w:hAnsi="Arial" w:cs="Arial"/>
      <w:sz w:val="18"/>
    </w:rPr>
  </w:style>
  <w:style w:type="paragraph" w:customStyle="1" w:styleId="TableContents">
    <w:name w:val="Table Contents"/>
    <w:basedOn w:val="Standard"/>
    <w:pPr>
      <w:suppressLineNumbers/>
    </w:pPr>
  </w:style>
  <w:style w:type="paragraph" w:styleId="Sarakstarindkopa">
    <w:name w:val="List Paragraph"/>
    <w:basedOn w:val="Standard"/>
    <w:link w:val="SarakstarindkopaRakstz"/>
    <w:uiPriority w:val="34"/>
    <w:qFormat/>
    <w:pPr>
      <w:ind w:left="720"/>
    </w:pPr>
  </w:style>
  <w:style w:type="paragraph" w:styleId="Komentrateksts">
    <w:name w:val="annotation text"/>
    <w:basedOn w:val="Standard"/>
    <w:pPr>
      <w:suppressAutoHyphens w:val="0"/>
    </w:pPr>
    <w:rPr>
      <w:rFonts w:eastAsia="?????? Pro W3"/>
      <w:color w:val="000000"/>
      <w:lang w:val="cs-CZ"/>
    </w:rPr>
  </w:style>
  <w:style w:type="paragraph" w:styleId="Balonteksts">
    <w:name w:val="Balloon Text"/>
    <w:basedOn w:val="Standard"/>
    <w:rPr>
      <w:rFonts w:ascii="Tahoma" w:hAnsi="Tahoma"/>
      <w:sz w:val="16"/>
      <w:szCs w:val="16"/>
    </w:rPr>
  </w:style>
  <w:style w:type="paragraph" w:styleId="Galvene">
    <w:name w:val="header"/>
    <w:basedOn w:val="Standard"/>
    <w:pPr>
      <w:suppressLineNumbers/>
      <w:tabs>
        <w:tab w:val="center" w:pos="4153"/>
        <w:tab w:val="right" w:pos="8306"/>
      </w:tabs>
    </w:pPr>
  </w:style>
  <w:style w:type="paragraph" w:styleId="Kjene">
    <w:name w:val="footer"/>
    <w:basedOn w:val="Standard"/>
    <w:pPr>
      <w:suppressLineNumbers/>
      <w:tabs>
        <w:tab w:val="center" w:pos="4153"/>
        <w:tab w:val="right" w:pos="8306"/>
      </w:tabs>
    </w:pPr>
  </w:style>
  <w:style w:type="paragraph" w:styleId="Komentratma">
    <w:name w:val="annotation subject"/>
    <w:basedOn w:val="Komentrateksts"/>
    <w:pPr>
      <w:suppressAutoHyphens/>
    </w:pPr>
    <w:rPr>
      <w:rFonts w:eastAsia="Times New Roman"/>
      <w:b/>
      <w:bCs/>
      <w:color w:val="00000A"/>
      <w:sz w:val="20"/>
      <w:szCs w:val="20"/>
      <w:lang w:val="lv-LV"/>
    </w:rPr>
  </w:style>
  <w:style w:type="paragraph" w:customStyle="1" w:styleId="TableHeading">
    <w:name w:val="Table Heading"/>
    <w:basedOn w:val="TableContents"/>
    <w:pPr>
      <w:jc w:val="center"/>
    </w:pPr>
    <w:rPr>
      <w:b/>
      <w:bCs/>
    </w:rPr>
  </w:style>
  <w:style w:type="paragraph" w:styleId="Paraststmeklis">
    <w:name w:val="Normal (Web)"/>
    <w:basedOn w:val="Standard"/>
    <w:pPr>
      <w:widowControl/>
      <w:suppressAutoHyphens w:val="0"/>
      <w:spacing w:before="280" w:after="119"/>
    </w:pPr>
    <w:rPr>
      <w:rFonts w:eastAsia="Times New Roman" w:cs="Times New Roman"/>
      <w:lang w:val="en-US" w:bidi="ar-SA"/>
    </w:rPr>
  </w:style>
  <w:style w:type="character" w:customStyle="1" w:styleId="WW8Num1z0">
    <w:name w:val="WW8Num1z0"/>
    <w:rPr>
      <w:rFonts w:ascii="Arial" w:hAnsi="Arial" w:cs="Times New Roman"/>
      <w:sz w:val="14"/>
      <w:szCs w:val="14"/>
    </w:rPr>
  </w:style>
  <w:style w:type="character" w:customStyle="1" w:styleId="WW8Num2z0">
    <w:name w:val="WW8Num2z0"/>
    <w:rPr>
      <w:rFonts w:ascii="Arial" w:hAnsi="Arial" w:cs="Times New Roman"/>
      <w:color w:val="000000"/>
      <w:sz w:val="14"/>
      <w:szCs w:val="14"/>
    </w:rPr>
  </w:style>
  <w:style w:type="character" w:customStyle="1" w:styleId="WW8Num3z0">
    <w:name w:val="WW8Num3z0"/>
    <w:rPr>
      <w:rFonts w:ascii="Arial" w:hAnsi="Arial" w:cs="Times New Roman"/>
      <w:sz w:val="14"/>
      <w:szCs w:val="14"/>
    </w:rPr>
  </w:style>
  <w:style w:type="character" w:customStyle="1" w:styleId="WW8Num4z0">
    <w:name w:val="WW8Num4z0"/>
    <w:rPr>
      <w:rFonts w:ascii="Arial" w:hAnsi="Arial"/>
      <w:b w:val="0"/>
      <w:bCs w:val="0"/>
      <w:sz w:val="14"/>
      <w:szCs w:val="14"/>
    </w:rPr>
  </w:style>
  <w:style w:type="character" w:customStyle="1" w:styleId="WW8Num4z1">
    <w:name w:val="WW8Num4z1"/>
    <w:rPr>
      <w:rFonts w:ascii="Arial" w:eastAsia="Batang, 바탕" w:hAnsi="Arial" w:cs="Arial"/>
      <w:sz w:val="14"/>
      <w:szCs w:val="1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DefaultParagraphFont">
    <w:name w:val="WW-Default Paragraph Font"/>
  </w:style>
  <w:style w:type="character" w:customStyle="1" w:styleId="BodyTextChar">
    <w:name w:val="Body Text Char"/>
    <w:basedOn w:val="WW-DefaultParagraphFont"/>
    <w:rPr>
      <w:rFonts w:ascii="Arial" w:hAnsi="Arial" w:cs="Times New Roman"/>
      <w:sz w:val="20"/>
      <w:szCs w:val="20"/>
      <w:lang w:val="en-US" w:bidi="ar-SA"/>
    </w:rPr>
  </w:style>
  <w:style w:type="character" w:customStyle="1" w:styleId="BodyText2Char">
    <w:name w:val="Body Text 2 Char"/>
    <w:basedOn w:val="WW-DefaultParagraphFont"/>
    <w:rPr>
      <w:rFonts w:ascii="Arial" w:hAnsi="Arial" w:cs="Times New Roman"/>
      <w:sz w:val="24"/>
      <w:szCs w:val="24"/>
      <w:lang w:bidi="ar-SA"/>
    </w:rPr>
  </w:style>
  <w:style w:type="character" w:customStyle="1" w:styleId="apple-style-span">
    <w:name w:val="apple-style-span"/>
    <w:basedOn w:val="WW-DefaultParagraphFont"/>
    <w:rPr>
      <w:rFonts w:cs="Times New Roman"/>
    </w:rPr>
  </w:style>
  <w:style w:type="character" w:customStyle="1" w:styleId="Internetlink">
    <w:name w:val="Internet link"/>
    <w:basedOn w:val="WW-DefaultParagraphFont"/>
    <w:rPr>
      <w:rFonts w:cs="Times New Roman"/>
      <w:color w:val="000080"/>
      <w:u w:val="single"/>
    </w:rPr>
  </w:style>
  <w:style w:type="character" w:styleId="Komentraatsauce">
    <w:name w:val="annotation reference"/>
    <w:basedOn w:val="WW-DefaultParagraphFont"/>
    <w:rPr>
      <w:rFonts w:cs="Times New Roman"/>
      <w:sz w:val="18"/>
      <w:szCs w:val="18"/>
    </w:rPr>
  </w:style>
  <w:style w:type="character" w:customStyle="1" w:styleId="CommentTextChar">
    <w:name w:val="Comment Text Char"/>
    <w:basedOn w:val="WW-DefaultParagraphFont"/>
    <w:rPr>
      <w:rFonts w:ascii="Times New Roman" w:eastAsia="?????? Pro W3" w:hAnsi="Times New Roman" w:cs="Times New Roman"/>
      <w:color w:val="000000"/>
      <w:kern w:val="3"/>
      <w:sz w:val="24"/>
      <w:szCs w:val="24"/>
      <w:lang w:val="cs-CZ" w:bidi="ar-SA"/>
    </w:rPr>
  </w:style>
  <w:style w:type="character" w:customStyle="1" w:styleId="BalloonTextChar">
    <w:name w:val="Balloon Text Char"/>
    <w:basedOn w:val="WW-DefaultParagraphFont"/>
    <w:rPr>
      <w:rFonts w:ascii="Tahoma" w:hAnsi="Tahoma" w:cs="Tahoma"/>
      <w:sz w:val="16"/>
      <w:szCs w:val="16"/>
      <w:lang w:bidi="ar-SA"/>
    </w:rPr>
  </w:style>
  <w:style w:type="character" w:customStyle="1" w:styleId="HeaderChar">
    <w:name w:val="Header Char"/>
    <w:basedOn w:val="WW-DefaultParagraphFont"/>
    <w:rPr>
      <w:rFonts w:ascii="Times New Roman" w:hAnsi="Times New Roman" w:cs="Times New Roman"/>
      <w:sz w:val="24"/>
      <w:szCs w:val="24"/>
      <w:lang w:bidi="ar-SA"/>
    </w:rPr>
  </w:style>
  <w:style w:type="character" w:customStyle="1" w:styleId="FooterChar">
    <w:name w:val="Footer Char"/>
    <w:basedOn w:val="WW-DefaultParagraphFont"/>
    <w:rPr>
      <w:rFonts w:ascii="Times New Roman" w:hAnsi="Times New Roman" w:cs="Times New Roman"/>
      <w:sz w:val="24"/>
      <w:szCs w:val="24"/>
      <w:lang w:bidi="ar-SA"/>
    </w:rPr>
  </w:style>
  <w:style w:type="character" w:customStyle="1" w:styleId="CommentSubjectChar">
    <w:name w:val="Comment Subject Char"/>
    <w:basedOn w:val="CommentTextChar"/>
    <w:rPr>
      <w:rFonts w:ascii="Times New Roman" w:eastAsia="?????? Pro W3" w:hAnsi="Times New Roman" w:cs="Times New Roman"/>
      <w:b/>
      <w:bCs/>
      <w:color w:val="000000"/>
      <w:kern w:val="3"/>
      <w:sz w:val="20"/>
      <w:szCs w:val="20"/>
      <w:lang w:val="cs-CZ" w:bidi="ar-SA"/>
    </w:rPr>
  </w:style>
  <w:style w:type="character" w:customStyle="1" w:styleId="a">
    <w:name w:val="默认段落字体"/>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ListLabel3">
    <w:name w:val="ListLabel 3"/>
    <w:rPr>
      <w:rFonts w:cs="Times New Roman"/>
      <w:b/>
    </w:rPr>
  </w:style>
  <w:style w:type="character" w:customStyle="1" w:styleId="ListLabel4">
    <w:name w:val="ListLabel 4"/>
    <w:rPr>
      <w:rFonts w:eastAsia="?????? Pro W3" w:cs="Times New Roman"/>
    </w:rPr>
  </w:style>
  <w:style w:type="character" w:customStyle="1" w:styleId="ListLabel5">
    <w:name w:val="ListLabel 5"/>
    <w:rPr>
      <w:rFonts w:cs="Courier New"/>
    </w:rPr>
  </w:style>
  <w:style w:type="character" w:customStyle="1" w:styleId="ListLabel6">
    <w:name w:val="ListLabel 6"/>
    <w:rPr>
      <w:rFonts w:eastAsia="Times New Roman" w:cs="Times New Roman"/>
    </w:rPr>
  </w:style>
  <w:style w:type="numbering" w:customStyle="1" w:styleId="WW8Num1">
    <w:name w:val="WW8Num1"/>
    <w:basedOn w:val="Bezsaraksta"/>
    <w:pPr>
      <w:numPr>
        <w:numId w:val="14"/>
      </w:numPr>
    </w:pPr>
  </w:style>
  <w:style w:type="numbering" w:customStyle="1" w:styleId="WW8Num2">
    <w:name w:val="WW8Num2"/>
    <w:basedOn w:val="Bezsaraksta"/>
    <w:pPr>
      <w:numPr>
        <w:numId w:val="12"/>
      </w:numPr>
    </w:pPr>
  </w:style>
  <w:style w:type="numbering" w:customStyle="1" w:styleId="WW8Num3">
    <w:name w:val="WW8Num3"/>
    <w:basedOn w:val="Bezsaraksta"/>
    <w:pPr>
      <w:numPr>
        <w:numId w:val="13"/>
      </w:numPr>
    </w:pPr>
  </w:style>
  <w:style w:type="numbering" w:customStyle="1" w:styleId="WW8Num4">
    <w:name w:val="WW8Num4"/>
    <w:basedOn w:val="Bezsaraksta"/>
    <w:pPr>
      <w:numPr>
        <w:numId w:val="11"/>
      </w:numPr>
    </w:pPr>
  </w:style>
  <w:style w:type="numbering" w:customStyle="1" w:styleId="WW8Num5">
    <w:name w:val="WW8Num5"/>
    <w:basedOn w:val="Bezsaraksta"/>
    <w:pPr>
      <w:numPr>
        <w:numId w:val="5"/>
      </w:numPr>
    </w:pPr>
  </w:style>
  <w:style w:type="character" w:styleId="Hipersaite">
    <w:name w:val="Hyperlink"/>
    <w:basedOn w:val="Noklusjumarindkopasfonts"/>
    <w:uiPriority w:val="99"/>
    <w:unhideWhenUsed/>
    <w:rsid w:val="007F7D15"/>
    <w:rPr>
      <w:color w:val="0563C1" w:themeColor="hyperlink"/>
      <w:u w:val="single"/>
    </w:rPr>
  </w:style>
  <w:style w:type="table" w:styleId="Reatabula">
    <w:name w:val="Table Grid"/>
    <w:basedOn w:val="Parastatabula"/>
    <w:uiPriority w:val="59"/>
    <w:rsid w:val="0066280B"/>
    <w:pPr>
      <w:suppressAutoHyphens w:val="0"/>
      <w:autoSpaceDE w:val="0"/>
      <w:adjustRightInd w:val="0"/>
      <w:textAlignment w:val="auto"/>
    </w:pPr>
    <w:rPr>
      <w:rFonts w:eastAsia="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66280B"/>
    <w:rPr>
      <w:rFonts w:eastAsia="SimSun, 宋体"/>
      <w:lang w:val="de-DE" w:bidi="fa-IR"/>
    </w:rPr>
  </w:style>
  <w:style w:type="numbering" w:customStyle="1" w:styleId="WW8Num31">
    <w:name w:val="WW8Num31"/>
    <w:basedOn w:val="Bezsaraksta"/>
    <w:rsid w:val="001F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D61C-750A-4B0D-A708-59238A2F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11667</Words>
  <Characters>6651</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PAR MONITORINGA SISTĒMAS NODROŠINĀŠANU NR</vt:lpstr>
      <vt:lpstr>LĪGUMS PAR MONITORINGA SISTĒMAS NODROŠINĀŠANU NR</vt:lpstr>
    </vt:vector>
  </TitlesOfParts>
  <Company>Rīgas Dome</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MONITORINGA SISTĒMAS NODROŠINĀŠANU NR</dc:title>
  <dc:creator>Uģis</dc:creator>
  <cp:lastModifiedBy>Dzintra Petrena</cp:lastModifiedBy>
  <cp:revision>2</cp:revision>
  <cp:lastPrinted>2018-03-27T08:06:00Z</cp:lastPrinted>
  <dcterms:created xsi:type="dcterms:W3CDTF">2018-04-04T07:42:00Z</dcterms:created>
  <dcterms:modified xsi:type="dcterms:W3CDTF">2019-04-05T06:47:00Z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