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D9" w:rsidRPr="002228D9" w:rsidRDefault="002228D9" w:rsidP="002228D9">
      <w:pPr>
        <w:jc w:val="center"/>
        <w:outlineLvl w:val="0"/>
        <w:rPr>
          <w:b/>
          <w:sz w:val="26"/>
          <w:szCs w:val="26"/>
        </w:rPr>
      </w:pPr>
      <w:r w:rsidRPr="002228D9">
        <w:rPr>
          <w:b/>
          <w:sz w:val="26"/>
          <w:szCs w:val="26"/>
        </w:rPr>
        <w:t>LĒMUMS IEPIRKUMAM</w:t>
      </w:r>
    </w:p>
    <w:p w:rsidR="003B24B2" w:rsidRPr="002228D9" w:rsidRDefault="003B24B2" w:rsidP="003B24B2">
      <w:pPr>
        <w:jc w:val="center"/>
        <w:outlineLvl w:val="0"/>
        <w:rPr>
          <w:b/>
          <w:sz w:val="26"/>
          <w:szCs w:val="26"/>
        </w:rPr>
      </w:pPr>
      <w:r w:rsidRPr="002228D9">
        <w:rPr>
          <w:b/>
          <w:sz w:val="26"/>
          <w:szCs w:val="26"/>
        </w:rPr>
        <w:t>„</w:t>
      </w:r>
      <w:r w:rsidR="002228D9" w:rsidRPr="002228D9">
        <w:rPr>
          <w:b/>
          <w:sz w:val="26"/>
          <w:szCs w:val="26"/>
        </w:rPr>
        <w:t>PAR TRANSPORTLĪDZEKĻU MAZGĀŠANU UN TĪRĪŠANU</w:t>
      </w:r>
      <w:r w:rsidRPr="002228D9">
        <w:rPr>
          <w:b/>
          <w:sz w:val="26"/>
          <w:szCs w:val="26"/>
        </w:rPr>
        <w:t>”</w:t>
      </w:r>
    </w:p>
    <w:p w:rsidR="003B24B2" w:rsidRDefault="00CF7768" w:rsidP="003B24B2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id</w:t>
      </w:r>
      <w:proofErr w:type="spellEnd"/>
      <w:r>
        <w:rPr>
          <w:sz w:val="26"/>
          <w:szCs w:val="26"/>
        </w:rPr>
        <w:t>. Nr. RPP 2016</w:t>
      </w:r>
      <w:r w:rsidR="003B24B2" w:rsidRPr="002B1FCF">
        <w:rPr>
          <w:sz w:val="26"/>
          <w:szCs w:val="26"/>
        </w:rPr>
        <w:t>/</w:t>
      </w:r>
      <w:r>
        <w:rPr>
          <w:sz w:val="26"/>
          <w:szCs w:val="26"/>
        </w:rPr>
        <w:t>46</w:t>
      </w:r>
      <w:r w:rsidR="003B24B2" w:rsidRPr="002B1FCF">
        <w:rPr>
          <w:sz w:val="26"/>
          <w:szCs w:val="26"/>
        </w:rPr>
        <w:t>)</w:t>
      </w:r>
    </w:p>
    <w:p w:rsidR="00EF7060" w:rsidRDefault="00EF7060" w:rsidP="003B24B2">
      <w:pPr>
        <w:jc w:val="both"/>
        <w:rPr>
          <w:sz w:val="26"/>
          <w:szCs w:val="26"/>
        </w:rPr>
      </w:pPr>
    </w:p>
    <w:p w:rsidR="003B24B2" w:rsidRDefault="00CF7768" w:rsidP="003B24B2">
      <w:pPr>
        <w:jc w:val="both"/>
        <w:rPr>
          <w:sz w:val="26"/>
          <w:szCs w:val="26"/>
        </w:rPr>
      </w:pPr>
      <w:r>
        <w:rPr>
          <w:sz w:val="26"/>
          <w:szCs w:val="26"/>
        </w:rPr>
        <w:t>Rīgā, 2017</w:t>
      </w:r>
      <w:r w:rsidR="003B24B2">
        <w:rPr>
          <w:sz w:val="26"/>
          <w:szCs w:val="26"/>
        </w:rPr>
        <w:t xml:space="preserve">.gada </w:t>
      </w:r>
      <w:r>
        <w:rPr>
          <w:sz w:val="26"/>
          <w:szCs w:val="26"/>
        </w:rPr>
        <w:t>18.janvārī</w:t>
      </w:r>
    </w:p>
    <w:p w:rsidR="002228D9" w:rsidRDefault="002228D9" w:rsidP="003B24B2">
      <w:pPr>
        <w:jc w:val="both"/>
        <w:rPr>
          <w:sz w:val="26"/>
          <w:szCs w:val="26"/>
        </w:rPr>
      </w:pPr>
    </w:p>
    <w:p w:rsidR="003B24B2" w:rsidRDefault="003B24B2" w:rsidP="003B24B2">
      <w:pPr>
        <w:autoSpaceDE w:val="0"/>
        <w:autoSpaceDN w:val="0"/>
        <w:adjustRightInd w:val="0"/>
        <w:jc w:val="both"/>
      </w:pPr>
      <w:r>
        <w:rPr>
          <w:b/>
          <w:sz w:val="26"/>
          <w:szCs w:val="26"/>
        </w:rPr>
        <w:t>Iesniegtie piedāvājumi:</w:t>
      </w:r>
      <w:r w:rsidRPr="000A295A">
        <w:t xml:space="preserve"> </w:t>
      </w:r>
    </w:p>
    <w:p w:rsidR="00CF7768" w:rsidRPr="00CF7768" w:rsidRDefault="00CF7768" w:rsidP="00CF7768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CF7768">
        <w:rPr>
          <w:sz w:val="26"/>
          <w:szCs w:val="26"/>
          <w:lang w:eastAsia="en-US"/>
        </w:rPr>
        <w:t>1. SIA „SAPŅU DIENA”</w:t>
      </w:r>
      <w:r w:rsidR="002228D9">
        <w:rPr>
          <w:sz w:val="26"/>
          <w:szCs w:val="26"/>
          <w:lang w:eastAsia="en-US"/>
        </w:rPr>
        <w:t xml:space="preserve">, </w:t>
      </w:r>
      <w:r w:rsidRPr="00CF7768">
        <w:rPr>
          <w:sz w:val="26"/>
          <w:szCs w:val="26"/>
          <w:lang w:eastAsia="en-US"/>
        </w:rPr>
        <w:t xml:space="preserve">piedāvātā  cena bez PVN: </w:t>
      </w:r>
    </w:p>
    <w:p w:rsidR="00CF7768" w:rsidRPr="00CF7768" w:rsidRDefault="00CF7768" w:rsidP="00CF776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CF7768">
        <w:rPr>
          <w:sz w:val="26"/>
          <w:szCs w:val="26"/>
          <w:lang w:eastAsia="en-US"/>
        </w:rPr>
        <w:t>kompleksā apkalpošana (3.pielikuma1.punkts) EUR – 40.53.</w:t>
      </w:r>
    </w:p>
    <w:p w:rsidR="00CF7768" w:rsidRPr="00CF7768" w:rsidRDefault="00CF7768" w:rsidP="00CF776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CF7768">
        <w:rPr>
          <w:sz w:val="26"/>
          <w:szCs w:val="26"/>
          <w:lang w:eastAsia="en-US"/>
        </w:rPr>
        <w:t>virsbūves mazgāšana ar rokām (3.pielikuma 2.punkts) EUR – 16.59.</w:t>
      </w:r>
    </w:p>
    <w:p w:rsidR="00CF7768" w:rsidRPr="00CF7768" w:rsidRDefault="00CF7768" w:rsidP="00CF776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CF7768">
        <w:rPr>
          <w:sz w:val="26"/>
          <w:szCs w:val="26"/>
          <w:lang w:eastAsia="en-US"/>
        </w:rPr>
        <w:t>paklāju (4 gabali) tīrīšana (3.pielikuma 3.punkts) EUR – 4.40.</w:t>
      </w:r>
    </w:p>
    <w:p w:rsidR="00CF7768" w:rsidRPr="00CF7768" w:rsidRDefault="00CF7768" w:rsidP="00CF776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CF7768">
        <w:rPr>
          <w:sz w:val="26"/>
          <w:szCs w:val="26"/>
          <w:lang w:eastAsia="en-US"/>
        </w:rPr>
        <w:t>salona ķīmiskā tīrīšana (3.pielikuma 4.punkts) EUR – 218.03.</w:t>
      </w:r>
    </w:p>
    <w:p w:rsidR="00CF7768" w:rsidRPr="00CF7768" w:rsidRDefault="00CF7768" w:rsidP="00CF776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CF7768">
        <w:rPr>
          <w:sz w:val="26"/>
          <w:szCs w:val="26"/>
          <w:lang w:eastAsia="en-US"/>
        </w:rPr>
        <w:t>dzinēja mazgāšana (3.pielikuma 5.punkts) EUR – 19.96.</w:t>
      </w:r>
    </w:p>
    <w:p w:rsidR="00CF7768" w:rsidRPr="00CF7768" w:rsidRDefault="00CF7768" w:rsidP="00CF776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CF7768">
        <w:rPr>
          <w:sz w:val="26"/>
          <w:szCs w:val="26"/>
          <w:lang w:eastAsia="en-US"/>
        </w:rPr>
        <w:t>virsbūves mazgāšana ar rokām (3.pielikuma 6.punkts) EUR –10.02.</w:t>
      </w:r>
    </w:p>
    <w:p w:rsidR="00CF7768" w:rsidRPr="00CF7768" w:rsidRDefault="00CF7768" w:rsidP="00CF7768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</w:p>
    <w:p w:rsidR="00CF7768" w:rsidRPr="00CF7768" w:rsidRDefault="00CF7768" w:rsidP="00CF7768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CF7768">
        <w:rPr>
          <w:sz w:val="26"/>
          <w:szCs w:val="26"/>
          <w:lang w:eastAsia="en-US"/>
        </w:rPr>
        <w:t>2. SIA „Jūsu Apkalpošanas Dienests”</w:t>
      </w:r>
      <w:r w:rsidR="002228D9">
        <w:rPr>
          <w:sz w:val="26"/>
          <w:szCs w:val="26"/>
          <w:lang w:eastAsia="en-US"/>
        </w:rPr>
        <w:t>,</w:t>
      </w:r>
      <w:r w:rsidRPr="00CF7768">
        <w:rPr>
          <w:sz w:val="26"/>
          <w:szCs w:val="26"/>
          <w:lang w:eastAsia="en-US"/>
        </w:rPr>
        <w:t xml:space="preserve"> piedāvātā  cena bez PVN: </w:t>
      </w:r>
    </w:p>
    <w:p w:rsidR="00CF7768" w:rsidRPr="00CF7768" w:rsidRDefault="00CF7768" w:rsidP="00CF776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CF7768">
        <w:rPr>
          <w:sz w:val="26"/>
          <w:szCs w:val="26"/>
          <w:lang w:eastAsia="en-US"/>
        </w:rPr>
        <w:t>kompleksā apkalpošana (3.pielikuma1.punkts) EUR – 47.52.</w:t>
      </w:r>
    </w:p>
    <w:p w:rsidR="00CF7768" w:rsidRPr="00CF7768" w:rsidRDefault="00CF7768" w:rsidP="00CF776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CF7768">
        <w:rPr>
          <w:sz w:val="26"/>
          <w:szCs w:val="26"/>
          <w:lang w:eastAsia="en-US"/>
        </w:rPr>
        <w:t>virsbūves mazgāšana ar rokām (3.pielikuma 2.punkts) EUR – 17.35.</w:t>
      </w:r>
    </w:p>
    <w:p w:rsidR="00CF7768" w:rsidRPr="00CF7768" w:rsidRDefault="00CF7768" w:rsidP="00CF776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CF7768">
        <w:rPr>
          <w:sz w:val="26"/>
          <w:szCs w:val="26"/>
          <w:lang w:eastAsia="en-US"/>
        </w:rPr>
        <w:t>paklāju (4 gabali) tīrīšana (3.pielikuma 3.punkts) EUR – 3.00.</w:t>
      </w:r>
    </w:p>
    <w:p w:rsidR="00CF7768" w:rsidRPr="00CF7768" w:rsidRDefault="00CF7768" w:rsidP="00CF776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CF7768">
        <w:rPr>
          <w:sz w:val="26"/>
          <w:szCs w:val="26"/>
          <w:lang w:eastAsia="en-US"/>
        </w:rPr>
        <w:t>salona ķīmiskā tīrīšana (3.pielikuma 4.punkts) EUR – 65.00.</w:t>
      </w:r>
    </w:p>
    <w:p w:rsidR="00CF7768" w:rsidRPr="00CF7768" w:rsidRDefault="00CF7768" w:rsidP="00CF776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CF7768">
        <w:rPr>
          <w:sz w:val="26"/>
          <w:szCs w:val="26"/>
          <w:lang w:eastAsia="en-US"/>
        </w:rPr>
        <w:t>dzinēja mazgāšana (3.pielikuma 5.punkts) EUR – 15.00.</w:t>
      </w:r>
    </w:p>
    <w:p w:rsidR="00CF7768" w:rsidRPr="00CF7768" w:rsidRDefault="00CF7768" w:rsidP="00CF776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CF7768">
        <w:rPr>
          <w:sz w:val="26"/>
          <w:szCs w:val="26"/>
          <w:lang w:eastAsia="en-US"/>
        </w:rPr>
        <w:t>virsbūves mazgāšana ar rokām (3.pielikuma 6.punkts) EUR – 12.00.</w:t>
      </w:r>
    </w:p>
    <w:p w:rsidR="00CF7768" w:rsidRPr="00CF7768" w:rsidRDefault="00CF7768" w:rsidP="00CF7768">
      <w:pPr>
        <w:autoSpaceDE w:val="0"/>
        <w:autoSpaceDN w:val="0"/>
        <w:adjustRightInd w:val="0"/>
        <w:ind w:left="1440"/>
        <w:jc w:val="both"/>
        <w:rPr>
          <w:sz w:val="26"/>
          <w:szCs w:val="26"/>
          <w:lang w:eastAsia="en-US"/>
        </w:rPr>
      </w:pPr>
    </w:p>
    <w:p w:rsidR="00CF7768" w:rsidRPr="00CF7768" w:rsidRDefault="00CF7768" w:rsidP="00CF7768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CF7768">
        <w:rPr>
          <w:sz w:val="26"/>
          <w:szCs w:val="26"/>
          <w:lang w:eastAsia="en-US"/>
        </w:rPr>
        <w:t>3. SIA „ARARAT”</w:t>
      </w:r>
      <w:r w:rsidR="002228D9">
        <w:rPr>
          <w:sz w:val="26"/>
          <w:szCs w:val="26"/>
          <w:lang w:eastAsia="en-US"/>
        </w:rPr>
        <w:t>,</w:t>
      </w:r>
      <w:r w:rsidRPr="00CF7768">
        <w:rPr>
          <w:sz w:val="26"/>
          <w:szCs w:val="26"/>
          <w:lang w:eastAsia="en-US"/>
        </w:rPr>
        <w:t xml:space="preserve"> piedāvātā  cena bez PVN: </w:t>
      </w:r>
    </w:p>
    <w:p w:rsidR="00CF7768" w:rsidRPr="00CF7768" w:rsidRDefault="00CF7768" w:rsidP="00CF776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CF7768">
        <w:rPr>
          <w:sz w:val="26"/>
          <w:szCs w:val="26"/>
          <w:lang w:eastAsia="en-US"/>
        </w:rPr>
        <w:t>kompleksā apkalpošana (3.pielikuma1.punkts) EUR – 50.60.</w:t>
      </w:r>
    </w:p>
    <w:p w:rsidR="00CF7768" w:rsidRPr="00CF7768" w:rsidRDefault="00CF7768" w:rsidP="00CF776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CF7768">
        <w:rPr>
          <w:sz w:val="26"/>
          <w:szCs w:val="26"/>
          <w:lang w:eastAsia="en-US"/>
        </w:rPr>
        <w:t>virsbūves mazgāšana ar rokām (3.pielikuma 2.punkts) EUR – 20.04.</w:t>
      </w:r>
    </w:p>
    <w:p w:rsidR="00CF7768" w:rsidRPr="00CF7768" w:rsidRDefault="00CF7768" w:rsidP="00CF776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CF7768">
        <w:rPr>
          <w:sz w:val="26"/>
          <w:szCs w:val="26"/>
          <w:lang w:eastAsia="en-US"/>
        </w:rPr>
        <w:t>paklāju (4 gabali) tīrīšana (3.pielikuma 3.punkts) EUR – 1.26.</w:t>
      </w:r>
    </w:p>
    <w:p w:rsidR="00CF7768" w:rsidRPr="00CF7768" w:rsidRDefault="00CF7768" w:rsidP="00CF776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CF7768">
        <w:rPr>
          <w:sz w:val="26"/>
          <w:szCs w:val="26"/>
          <w:lang w:eastAsia="en-US"/>
        </w:rPr>
        <w:t>salona ķīmiskā tīrīšana (3.pielikuma 4.punkts) EUR – 99.18.</w:t>
      </w:r>
    </w:p>
    <w:p w:rsidR="00CF7768" w:rsidRPr="00CF7768" w:rsidRDefault="00CF7768" w:rsidP="00CF776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CF7768">
        <w:rPr>
          <w:sz w:val="26"/>
          <w:szCs w:val="26"/>
          <w:lang w:eastAsia="en-US"/>
        </w:rPr>
        <w:t>dzinēja mazgāšana (3.pielikuma 5.punkts) EUR –32.25.</w:t>
      </w:r>
    </w:p>
    <w:p w:rsidR="00CF7768" w:rsidRPr="00CF7768" w:rsidRDefault="00CF7768" w:rsidP="00CF776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CF7768">
        <w:rPr>
          <w:sz w:val="26"/>
          <w:szCs w:val="26"/>
          <w:lang w:eastAsia="en-US"/>
        </w:rPr>
        <w:t>virsbūves mazgāšana ar rokām (3.pielikuma 6.punkts) EUR – 10.56.</w:t>
      </w:r>
    </w:p>
    <w:p w:rsidR="005A0B5E" w:rsidRPr="006328FB" w:rsidRDefault="005A0B5E" w:rsidP="006328FB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</w:p>
    <w:p w:rsidR="005A0B5E" w:rsidRDefault="005A0B5E" w:rsidP="005A0B5E">
      <w:pPr>
        <w:tabs>
          <w:tab w:val="left" w:pos="9000"/>
        </w:tabs>
        <w:ind w:right="180"/>
        <w:jc w:val="both"/>
        <w:rPr>
          <w:b/>
          <w:sz w:val="26"/>
          <w:szCs w:val="26"/>
        </w:rPr>
      </w:pPr>
      <w:r w:rsidRPr="00E853CE">
        <w:rPr>
          <w:b/>
          <w:sz w:val="26"/>
          <w:szCs w:val="26"/>
        </w:rPr>
        <w:t>Piedāvājumu vērtēšana:</w:t>
      </w:r>
    </w:p>
    <w:p w:rsidR="002228D9" w:rsidRPr="002228D9" w:rsidRDefault="005A0B5E" w:rsidP="00CF77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EF7060" w:rsidRPr="002228D9">
        <w:rPr>
          <w:sz w:val="26"/>
          <w:szCs w:val="26"/>
        </w:rPr>
        <w:t xml:space="preserve">Komisija izskatot un izvērtējot pretendentu atlases dokumentus, nolēma </w:t>
      </w:r>
      <w:r w:rsidR="00CF7768" w:rsidRPr="002228D9">
        <w:rPr>
          <w:sz w:val="26"/>
          <w:szCs w:val="26"/>
        </w:rPr>
        <w:t>atzīt</w:t>
      </w:r>
      <w:r w:rsidR="002228D9" w:rsidRPr="002228D9">
        <w:rPr>
          <w:sz w:val="26"/>
          <w:szCs w:val="26"/>
          <w:lang w:eastAsia="en-US"/>
        </w:rPr>
        <w:t xml:space="preserve"> </w:t>
      </w:r>
      <w:r w:rsidR="002228D9" w:rsidRPr="002228D9">
        <w:rPr>
          <w:sz w:val="26"/>
          <w:szCs w:val="26"/>
        </w:rPr>
        <w:t xml:space="preserve"> pretendentu SIA „SAPŅU DIENA, SIA</w:t>
      </w:r>
      <w:r w:rsidR="002228D9" w:rsidRPr="002228D9">
        <w:rPr>
          <w:sz w:val="26"/>
          <w:szCs w:val="26"/>
          <w:lang w:eastAsia="en-US"/>
        </w:rPr>
        <w:t xml:space="preserve"> „Jūsu Apkalpošanas Dienests” un SIA „ARARAT” </w:t>
      </w:r>
      <w:r w:rsidR="002228D9" w:rsidRPr="002228D9">
        <w:rPr>
          <w:sz w:val="26"/>
          <w:szCs w:val="26"/>
        </w:rPr>
        <w:t xml:space="preserve"> atlases dokumentus par atbilstošiem i</w:t>
      </w:r>
      <w:r w:rsidR="002228D9">
        <w:rPr>
          <w:sz w:val="26"/>
          <w:szCs w:val="26"/>
        </w:rPr>
        <w:t>epirkumā izvirzītajām prasībām.</w:t>
      </w:r>
    </w:p>
    <w:p w:rsidR="00106B81" w:rsidRPr="00106B81" w:rsidRDefault="005A0B5E" w:rsidP="00221E83">
      <w:pPr>
        <w:tabs>
          <w:tab w:val="left" w:pos="9000"/>
        </w:tabs>
        <w:ind w:right="180"/>
        <w:jc w:val="both"/>
        <w:rPr>
          <w:sz w:val="26"/>
          <w:szCs w:val="26"/>
        </w:rPr>
      </w:pPr>
      <w:r>
        <w:rPr>
          <w:rFonts w:eastAsia="Arial Unicode MS"/>
          <w:sz w:val="26"/>
          <w:szCs w:val="26"/>
          <w:lang w:eastAsia="en-US"/>
        </w:rPr>
        <w:t xml:space="preserve">         </w:t>
      </w:r>
      <w:r w:rsidR="002228D9">
        <w:rPr>
          <w:sz w:val="26"/>
          <w:szCs w:val="26"/>
        </w:rPr>
        <w:t xml:space="preserve"> </w:t>
      </w:r>
      <w:r w:rsidR="002228D9" w:rsidRPr="002228D9">
        <w:rPr>
          <w:sz w:val="26"/>
          <w:szCs w:val="26"/>
        </w:rPr>
        <w:t>Komisija izskatot u</w:t>
      </w:r>
      <w:r w:rsidR="002228D9">
        <w:rPr>
          <w:sz w:val="26"/>
          <w:szCs w:val="26"/>
        </w:rPr>
        <w:t>n izvērtējot pretendentu tehniskā piedāvājuma</w:t>
      </w:r>
      <w:r w:rsidR="002228D9" w:rsidRPr="002228D9">
        <w:rPr>
          <w:sz w:val="26"/>
          <w:szCs w:val="26"/>
        </w:rPr>
        <w:t xml:space="preserve"> dokumentus, nolēma atzīt</w:t>
      </w:r>
      <w:r w:rsidR="002228D9" w:rsidRPr="002228D9">
        <w:rPr>
          <w:sz w:val="26"/>
          <w:szCs w:val="26"/>
          <w:lang w:eastAsia="en-US"/>
        </w:rPr>
        <w:t xml:space="preserve"> </w:t>
      </w:r>
      <w:r w:rsidR="002228D9" w:rsidRPr="002228D9">
        <w:rPr>
          <w:sz w:val="26"/>
          <w:szCs w:val="26"/>
        </w:rPr>
        <w:t xml:space="preserve"> pretendentu SIA</w:t>
      </w:r>
      <w:r w:rsidR="002228D9" w:rsidRPr="002228D9">
        <w:rPr>
          <w:sz w:val="26"/>
          <w:szCs w:val="26"/>
          <w:lang w:eastAsia="en-US"/>
        </w:rPr>
        <w:t xml:space="preserve"> „Jūsu Apkalpošanas Dienests” un SIA „ARARAT”</w:t>
      </w:r>
      <w:r w:rsidR="002228D9" w:rsidRPr="002228D9">
        <w:rPr>
          <w:sz w:val="26"/>
          <w:szCs w:val="26"/>
        </w:rPr>
        <w:t xml:space="preserve"> </w:t>
      </w:r>
      <w:r w:rsidR="002228D9">
        <w:rPr>
          <w:sz w:val="26"/>
          <w:szCs w:val="26"/>
        </w:rPr>
        <w:t>tehniskos piedāvājumus</w:t>
      </w:r>
      <w:r w:rsidR="002228D9" w:rsidRPr="002228D9">
        <w:rPr>
          <w:sz w:val="26"/>
          <w:szCs w:val="26"/>
        </w:rPr>
        <w:t xml:space="preserve"> par atbilstošiem i</w:t>
      </w:r>
      <w:r w:rsidR="002228D9">
        <w:rPr>
          <w:sz w:val="26"/>
          <w:szCs w:val="26"/>
        </w:rPr>
        <w:t>epirkumā izvirzītajām prasībām,</w:t>
      </w:r>
      <w:r w:rsidR="00221E83">
        <w:rPr>
          <w:sz w:val="26"/>
          <w:szCs w:val="26"/>
        </w:rPr>
        <w:t xml:space="preserve"> </w:t>
      </w:r>
      <w:r w:rsidR="00106B81" w:rsidRPr="00106B81">
        <w:rPr>
          <w:sz w:val="26"/>
          <w:szCs w:val="26"/>
        </w:rPr>
        <w:t xml:space="preserve">bet pretendenta </w:t>
      </w:r>
      <w:r w:rsidR="00106B81" w:rsidRPr="00106B81">
        <w:rPr>
          <w:sz w:val="26"/>
          <w:szCs w:val="26"/>
          <w:lang w:eastAsia="en-US"/>
        </w:rPr>
        <w:t>SIA „SAPŅU DIENA”</w:t>
      </w:r>
      <w:r w:rsidR="00106B81">
        <w:rPr>
          <w:sz w:val="26"/>
          <w:szCs w:val="26"/>
          <w:lang w:eastAsia="en-US"/>
        </w:rPr>
        <w:t xml:space="preserve"> par neatbilstošu </w:t>
      </w:r>
      <w:r w:rsidR="00106B81" w:rsidRPr="002228D9">
        <w:rPr>
          <w:sz w:val="26"/>
          <w:szCs w:val="26"/>
        </w:rPr>
        <w:t>i</w:t>
      </w:r>
      <w:r w:rsidR="00106B81">
        <w:rPr>
          <w:sz w:val="26"/>
          <w:szCs w:val="26"/>
        </w:rPr>
        <w:t xml:space="preserve">epirkumā izvirzītajām prasībām, </w:t>
      </w:r>
      <w:r w:rsidR="00106B81">
        <w:rPr>
          <w:sz w:val="26"/>
          <w:szCs w:val="26"/>
          <w:lang w:eastAsia="en-US"/>
        </w:rPr>
        <w:t xml:space="preserve"> </w:t>
      </w:r>
      <w:r w:rsidR="00106B81" w:rsidRPr="00106B81">
        <w:rPr>
          <w:sz w:val="26"/>
          <w:szCs w:val="26"/>
          <w:lang w:eastAsia="en-US"/>
        </w:rPr>
        <w:t xml:space="preserve"> </w:t>
      </w:r>
      <w:r w:rsidR="00221E83">
        <w:rPr>
          <w:sz w:val="26"/>
          <w:szCs w:val="26"/>
          <w:lang w:eastAsia="en-US"/>
        </w:rPr>
        <w:t xml:space="preserve">jo </w:t>
      </w:r>
      <w:r w:rsidR="00106B81" w:rsidRPr="00106B81">
        <w:rPr>
          <w:sz w:val="26"/>
          <w:szCs w:val="26"/>
          <w:lang w:eastAsia="en-US"/>
        </w:rPr>
        <w:t>iesniegtajā tehniskajā specifikācijā trijām auto mazgātavām nav norādīti darba laiki, savukārt pārējām divām pretendents  ir norādījis darba laiku, kas neatbilst tehniskās specifikācijas 8.punkta prasībām.</w:t>
      </w:r>
      <w:r w:rsidR="00106B81" w:rsidRPr="00106B81">
        <w:t xml:space="preserve"> </w:t>
      </w:r>
      <w:r w:rsidR="00106B81">
        <w:rPr>
          <w:sz w:val="26"/>
          <w:szCs w:val="26"/>
        </w:rPr>
        <w:t>Ie</w:t>
      </w:r>
      <w:r w:rsidR="00106B81" w:rsidRPr="00106B81">
        <w:rPr>
          <w:sz w:val="26"/>
          <w:szCs w:val="26"/>
        </w:rPr>
        <w:t>pirkuma komisija nolēma</w:t>
      </w:r>
      <w:r w:rsidR="00106B81">
        <w:t xml:space="preserve"> </w:t>
      </w:r>
      <w:r w:rsidR="00106B81">
        <w:rPr>
          <w:sz w:val="26"/>
          <w:szCs w:val="26"/>
          <w:lang w:eastAsia="en-US"/>
        </w:rPr>
        <w:t>a</w:t>
      </w:r>
      <w:r w:rsidR="00106B81" w:rsidRPr="00106B81">
        <w:rPr>
          <w:sz w:val="26"/>
          <w:szCs w:val="26"/>
          <w:lang w:eastAsia="en-US"/>
        </w:rPr>
        <w:t>tzīt pretendenta SIA „SAPŅU DIENA” tehnisko piedāvājumu par neatbilstošu izvirzītajām prasībā</w:t>
      </w:r>
      <w:r w:rsidR="00C37E8A">
        <w:rPr>
          <w:sz w:val="26"/>
          <w:szCs w:val="26"/>
          <w:lang w:eastAsia="en-US"/>
        </w:rPr>
        <w:t>m un tālāk piedāvājumu nevērtēt</w:t>
      </w:r>
      <w:r w:rsidR="00B60C97">
        <w:rPr>
          <w:sz w:val="26"/>
          <w:szCs w:val="26"/>
          <w:lang w:eastAsia="en-US"/>
        </w:rPr>
        <w:t>.</w:t>
      </w:r>
    </w:p>
    <w:p w:rsidR="00106B81" w:rsidRDefault="00106B81" w:rsidP="00CF7768">
      <w:pPr>
        <w:tabs>
          <w:tab w:val="left" w:pos="9000"/>
        </w:tabs>
        <w:ind w:right="180"/>
        <w:jc w:val="both"/>
        <w:rPr>
          <w:sz w:val="26"/>
          <w:szCs w:val="26"/>
        </w:rPr>
      </w:pPr>
    </w:p>
    <w:p w:rsidR="005A0B5E" w:rsidRPr="005A0B5E" w:rsidRDefault="00106B81" w:rsidP="00CF7768">
      <w:pPr>
        <w:tabs>
          <w:tab w:val="left" w:pos="9000"/>
        </w:tabs>
        <w:ind w:right="18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K</w:t>
      </w:r>
      <w:r w:rsidR="005A0B5E" w:rsidRPr="005A0B5E">
        <w:rPr>
          <w:sz w:val="26"/>
          <w:szCs w:val="26"/>
        </w:rPr>
        <w:t xml:space="preserve">omisijai izskatot un izvērtējot pretendentu </w:t>
      </w:r>
      <w:r w:rsidR="005A0B5E" w:rsidRPr="006328FB">
        <w:rPr>
          <w:sz w:val="26"/>
          <w:szCs w:val="26"/>
          <w:lang w:eastAsia="en-US"/>
        </w:rPr>
        <w:t>S</w:t>
      </w:r>
      <w:r w:rsidR="005A0B5E">
        <w:rPr>
          <w:sz w:val="26"/>
          <w:szCs w:val="26"/>
          <w:lang w:eastAsia="en-US"/>
        </w:rPr>
        <w:t>IA „Jūsu Apkalpošanas Diene</w:t>
      </w:r>
      <w:r w:rsidR="005A0B5E" w:rsidRPr="006328FB">
        <w:rPr>
          <w:sz w:val="26"/>
          <w:szCs w:val="26"/>
          <w:lang w:eastAsia="en-US"/>
        </w:rPr>
        <w:t>sts”</w:t>
      </w:r>
      <w:r w:rsidR="005A0B5E">
        <w:rPr>
          <w:sz w:val="26"/>
          <w:szCs w:val="26"/>
          <w:lang w:eastAsia="en-US"/>
        </w:rPr>
        <w:t xml:space="preserve"> un </w:t>
      </w:r>
      <w:r w:rsidR="005A0B5E" w:rsidRPr="006328FB">
        <w:rPr>
          <w:sz w:val="26"/>
          <w:szCs w:val="26"/>
          <w:lang w:eastAsia="en-US"/>
        </w:rPr>
        <w:t xml:space="preserve">SIA „ARARAT” </w:t>
      </w:r>
      <w:r w:rsidR="005A0B5E">
        <w:rPr>
          <w:sz w:val="26"/>
          <w:szCs w:val="26"/>
        </w:rPr>
        <w:t xml:space="preserve">finanšu piedāvājumus, atzina </w:t>
      </w:r>
      <w:r w:rsidR="005A0B5E" w:rsidRPr="005A0B5E">
        <w:rPr>
          <w:sz w:val="26"/>
          <w:szCs w:val="26"/>
        </w:rPr>
        <w:t>tos par atbilstošiem iepirkumā izvirzītājam prasībām.</w:t>
      </w:r>
    </w:p>
    <w:p w:rsidR="005A0B5E" w:rsidRPr="005A0B5E" w:rsidRDefault="005A0B5E" w:rsidP="005A0B5E">
      <w:pPr>
        <w:tabs>
          <w:tab w:val="left" w:pos="9000"/>
        </w:tabs>
        <w:ind w:right="180" w:firstLine="567"/>
        <w:jc w:val="both"/>
        <w:rPr>
          <w:sz w:val="26"/>
          <w:szCs w:val="26"/>
        </w:rPr>
      </w:pPr>
    </w:p>
    <w:p w:rsidR="00CF7768" w:rsidRDefault="00537C5E" w:rsidP="003B24B2">
      <w:pPr>
        <w:tabs>
          <w:tab w:val="left" w:pos="9000"/>
        </w:tabs>
        <w:ind w:right="18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CF7768">
        <w:rPr>
          <w:sz w:val="26"/>
          <w:szCs w:val="26"/>
        </w:rPr>
        <w:t>Komisija noteica saimnieciski visizdevīgāko piedāvājumu un konstatēja, ka saimnieciski visizdevīgākais piedāvājumus ir pretendentam SIA „</w:t>
      </w:r>
      <w:r w:rsidR="00CF7768">
        <w:rPr>
          <w:sz w:val="26"/>
          <w:szCs w:val="26"/>
          <w:lang w:eastAsia="en-US"/>
        </w:rPr>
        <w:t>Jūsu Apkalpošanas Diene</w:t>
      </w:r>
      <w:r w:rsidR="00CF7768" w:rsidRPr="006328FB">
        <w:rPr>
          <w:sz w:val="26"/>
          <w:szCs w:val="26"/>
          <w:lang w:eastAsia="en-US"/>
        </w:rPr>
        <w:t>sts</w:t>
      </w:r>
      <w:r w:rsidR="00CF7768">
        <w:rPr>
          <w:sz w:val="26"/>
          <w:szCs w:val="26"/>
        </w:rPr>
        <w:t>”.</w:t>
      </w:r>
    </w:p>
    <w:p w:rsidR="00C37E8A" w:rsidRDefault="00BB18EF" w:rsidP="003B24B2">
      <w:pPr>
        <w:tabs>
          <w:tab w:val="left" w:pos="9000"/>
        </w:tabs>
        <w:ind w:right="18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13049" w:type="dxa"/>
        <w:tblInd w:w="93" w:type="dxa"/>
        <w:tblLook w:val="04A0" w:firstRow="1" w:lastRow="0" w:firstColumn="1" w:lastColumn="0" w:noHBand="0" w:noVBand="1"/>
      </w:tblPr>
      <w:tblGrid>
        <w:gridCol w:w="520"/>
        <w:gridCol w:w="1904"/>
        <w:gridCol w:w="1262"/>
        <w:gridCol w:w="1606"/>
        <w:gridCol w:w="645"/>
        <w:gridCol w:w="786"/>
        <w:gridCol w:w="1146"/>
        <w:gridCol w:w="880"/>
        <w:gridCol w:w="1060"/>
        <w:gridCol w:w="1120"/>
        <w:gridCol w:w="820"/>
        <w:gridCol w:w="1300"/>
      </w:tblGrid>
      <w:tr w:rsidR="00C37E8A" w:rsidRPr="00C37E8A" w:rsidTr="00C37E8A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/>
        </w:tc>
        <w:tc>
          <w:tcPr>
            <w:tcW w:w="92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>
            <w:pPr>
              <w:rPr>
                <w:b/>
                <w:bCs/>
                <w:sz w:val="20"/>
                <w:szCs w:val="20"/>
                <w:u w:val="single"/>
              </w:rPr>
            </w:pPr>
            <w:r w:rsidRPr="00C37E8A">
              <w:rPr>
                <w:b/>
                <w:bCs/>
                <w:sz w:val="20"/>
                <w:szCs w:val="20"/>
                <w:u w:val="single"/>
              </w:rPr>
              <w:t>Saimnieciski visizdevīgākā piedāvājuma noteikšana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E8A" w:rsidRPr="00C37E8A" w:rsidTr="00C37E8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>
            <w:pPr>
              <w:rPr>
                <w:sz w:val="20"/>
                <w:szCs w:val="20"/>
              </w:rPr>
            </w:pPr>
          </w:p>
        </w:tc>
      </w:tr>
      <w:tr w:rsidR="00C37E8A" w:rsidRPr="00C37E8A" w:rsidTr="00C37E8A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>
            <w:pPr>
              <w:jc w:val="center"/>
              <w:rPr>
                <w:sz w:val="12"/>
                <w:szCs w:val="12"/>
              </w:rPr>
            </w:pPr>
            <w:r w:rsidRPr="00C37E8A">
              <w:rPr>
                <w:sz w:val="12"/>
                <w:szCs w:val="12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>
            <w:pPr>
              <w:jc w:val="center"/>
              <w:rPr>
                <w:sz w:val="12"/>
                <w:szCs w:val="12"/>
              </w:rPr>
            </w:pPr>
            <w:r w:rsidRPr="00C37E8A">
              <w:rPr>
                <w:sz w:val="12"/>
                <w:szCs w:val="12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>
            <w:pPr>
              <w:jc w:val="center"/>
              <w:rPr>
                <w:b/>
                <w:bCs/>
                <w:sz w:val="12"/>
                <w:szCs w:val="12"/>
              </w:rPr>
            </w:pPr>
            <w:r w:rsidRPr="00C37E8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C37E8A" w:rsidRPr="00C37E8A" w:rsidRDefault="00C37E8A" w:rsidP="00C37E8A">
            <w:pPr>
              <w:jc w:val="center"/>
              <w:rPr>
                <w:b/>
                <w:bCs/>
                <w:sz w:val="20"/>
                <w:szCs w:val="20"/>
              </w:rPr>
            </w:pPr>
            <w:r w:rsidRPr="00C37E8A">
              <w:rPr>
                <w:b/>
                <w:bCs/>
                <w:sz w:val="20"/>
                <w:szCs w:val="20"/>
              </w:rPr>
              <w:t>SIA ,,Jūsu Apkalpošanas Dienests"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C37E8A" w:rsidRPr="00C37E8A" w:rsidRDefault="00C37E8A" w:rsidP="00C37E8A">
            <w:pPr>
              <w:jc w:val="center"/>
              <w:rPr>
                <w:b/>
                <w:bCs/>
                <w:sz w:val="20"/>
                <w:szCs w:val="20"/>
              </w:rPr>
            </w:pPr>
            <w:r w:rsidRPr="00C37E8A">
              <w:rPr>
                <w:b/>
                <w:bCs/>
                <w:sz w:val="20"/>
                <w:szCs w:val="20"/>
              </w:rPr>
              <w:t>SIA ,,ARARAT"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E8A" w:rsidRPr="00C37E8A" w:rsidTr="00C37E8A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8A" w:rsidRPr="00C37E8A" w:rsidRDefault="00C37E8A" w:rsidP="00C37E8A">
            <w:pPr>
              <w:rPr>
                <w:i/>
                <w:iCs/>
                <w:sz w:val="12"/>
                <w:szCs w:val="12"/>
              </w:rPr>
            </w:pPr>
            <w:proofErr w:type="spellStart"/>
            <w:r w:rsidRPr="00C37E8A">
              <w:rPr>
                <w:i/>
                <w:iCs/>
                <w:sz w:val="12"/>
                <w:szCs w:val="12"/>
              </w:rPr>
              <w:t>Nr.p</w:t>
            </w:r>
            <w:proofErr w:type="spellEnd"/>
            <w:r w:rsidRPr="00C37E8A">
              <w:rPr>
                <w:i/>
                <w:iCs/>
                <w:sz w:val="12"/>
                <w:szCs w:val="12"/>
              </w:rPr>
              <w:t>/k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>
            <w:pPr>
              <w:jc w:val="center"/>
              <w:rPr>
                <w:i/>
                <w:iCs/>
                <w:sz w:val="18"/>
                <w:szCs w:val="18"/>
              </w:rPr>
            </w:pPr>
            <w:r w:rsidRPr="00C37E8A">
              <w:rPr>
                <w:i/>
                <w:iCs/>
                <w:sz w:val="18"/>
                <w:szCs w:val="18"/>
              </w:rPr>
              <w:t>Vērtēšanas kritēriji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8A" w:rsidRPr="00C37E8A" w:rsidRDefault="00C37E8A" w:rsidP="00C37E8A">
            <w:pPr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 w:rsidRPr="00C37E8A">
              <w:rPr>
                <w:i/>
                <w:iCs/>
                <w:sz w:val="18"/>
                <w:szCs w:val="18"/>
              </w:rPr>
              <w:t>Max.punktu</w:t>
            </w:r>
            <w:proofErr w:type="spellEnd"/>
            <w:r w:rsidRPr="00C37E8A">
              <w:rPr>
                <w:i/>
                <w:iCs/>
                <w:sz w:val="18"/>
                <w:szCs w:val="18"/>
              </w:rPr>
              <w:t xml:space="preserve"> skaits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8A" w:rsidRPr="00C37E8A" w:rsidRDefault="00C37E8A" w:rsidP="00C37E8A">
            <w:pPr>
              <w:jc w:val="center"/>
              <w:rPr>
                <w:i/>
                <w:iCs/>
                <w:sz w:val="18"/>
                <w:szCs w:val="18"/>
              </w:rPr>
            </w:pPr>
            <w:r w:rsidRPr="00C37E8A">
              <w:rPr>
                <w:i/>
                <w:iCs/>
                <w:sz w:val="18"/>
                <w:szCs w:val="18"/>
              </w:rPr>
              <w:t>Piedāvājums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>
            <w:pPr>
              <w:jc w:val="center"/>
              <w:rPr>
                <w:i/>
                <w:iCs/>
                <w:sz w:val="18"/>
                <w:szCs w:val="18"/>
              </w:rPr>
            </w:pPr>
            <w:r w:rsidRPr="00C37E8A">
              <w:rPr>
                <w:i/>
                <w:iCs/>
                <w:sz w:val="18"/>
                <w:szCs w:val="18"/>
              </w:rPr>
              <w:t>Vieta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37E8A" w:rsidRPr="00C37E8A" w:rsidRDefault="00C37E8A" w:rsidP="00C37E8A">
            <w:pPr>
              <w:jc w:val="center"/>
              <w:rPr>
                <w:i/>
                <w:iCs/>
                <w:sz w:val="18"/>
                <w:szCs w:val="18"/>
              </w:rPr>
            </w:pPr>
            <w:r w:rsidRPr="00C37E8A">
              <w:rPr>
                <w:i/>
                <w:iCs/>
                <w:sz w:val="18"/>
                <w:szCs w:val="18"/>
              </w:rPr>
              <w:t>Punkti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8A" w:rsidRPr="00C37E8A" w:rsidRDefault="00C37E8A" w:rsidP="00C37E8A">
            <w:pPr>
              <w:jc w:val="center"/>
              <w:rPr>
                <w:i/>
                <w:iCs/>
                <w:sz w:val="18"/>
                <w:szCs w:val="18"/>
              </w:rPr>
            </w:pPr>
            <w:r w:rsidRPr="00C37E8A">
              <w:rPr>
                <w:i/>
                <w:iCs/>
                <w:sz w:val="18"/>
                <w:szCs w:val="18"/>
              </w:rPr>
              <w:t>Piedāvājums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>
            <w:pPr>
              <w:jc w:val="center"/>
              <w:rPr>
                <w:i/>
                <w:iCs/>
                <w:sz w:val="18"/>
                <w:szCs w:val="18"/>
              </w:rPr>
            </w:pPr>
            <w:r w:rsidRPr="00C37E8A">
              <w:rPr>
                <w:i/>
                <w:iCs/>
                <w:sz w:val="18"/>
                <w:szCs w:val="18"/>
              </w:rPr>
              <w:t>Vieta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37E8A" w:rsidRPr="00C37E8A" w:rsidRDefault="00C37E8A" w:rsidP="00C37E8A">
            <w:pPr>
              <w:jc w:val="center"/>
              <w:rPr>
                <w:i/>
                <w:iCs/>
                <w:sz w:val="18"/>
                <w:szCs w:val="18"/>
              </w:rPr>
            </w:pPr>
            <w:r w:rsidRPr="00C37E8A">
              <w:rPr>
                <w:i/>
                <w:iCs/>
                <w:sz w:val="18"/>
                <w:szCs w:val="18"/>
              </w:rPr>
              <w:t>Punkti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E8A" w:rsidRPr="00C37E8A" w:rsidTr="00C37E8A">
        <w:trPr>
          <w:trHeight w:val="12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8A" w:rsidRPr="00C37E8A" w:rsidRDefault="00C37E8A" w:rsidP="00C37E8A">
            <w:pPr>
              <w:jc w:val="center"/>
              <w:rPr>
                <w:sz w:val="12"/>
                <w:szCs w:val="12"/>
              </w:rPr>
            </w:pPr>
            <w:r w:rsidRPr="00C37E8A">
              <w:rPr>
                <w:sz w:val="12"/>
                <w:szCs w:val="12"/>
              </w:rPr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8A" w:rsidRPr="00C37E8A" w:rsidRDefault="00C37E8A" w:rsidP="00C37E8A">
            <w:pPr>
              <w:jc w:val="both"/>
              <w:rPr>
                <w:color w:val="000000"/>
                <w:sz w:val="20"/>
                <w:szCs w:val="20"/>
              </w:rPr>
            </w:pPr>
            <w:r w:rsidRPr="00C37E8A">
              <w:rPr>
                <w:color w:val="000000"/>
                <w:sz w:val="20"/>
                <w:szCs w:val="20"/>
              </w:rPr>
              <w:t>kompleksā apkalpošana           (</w:t>
            </w:r>
            <w:proofErr w:type="spellStart"/>
            <w:r w:rsidRPr="00C37E8A">
              <w:rPr>
                <w:color w:val="000000"/>
                <w:sz w:val="20"/>
                <w:szCs w:val="20"/>
              </w:rPr>
              <w:t>Fin.pied</w:t>
            </w:r>
            <w:proofErr w:type="spellEnd"/>
            <w:r w:rsidRPr="00C37E8A">
              <w:rPr>
                <w:color w:val="000000"/>
                <w:sz w:val="20"/>
                <w:szCs w:val="20"/>
              </w:rPr>
              <w:t>.                 D  (A+B+C))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8A" w:rsidRPr="00C37E8A" w:rsidRDefault="00C37E8A" w:rsidP="00C37E8A">
            <w:pPr>
              <w:jc w:val="center"/>
              <w:rPr>
                <w:sz w:val="18"/>
                <w:szCs w:val="18"/>
              </w:rPr>
            </w:pPr>
            <w:r w:rsidRPr="00C37E8A">
              <w:rPr>
                <w:sz w:val="18"/>
                <w:szCs w:val="18"/>
              </w:rPr>
              <w:t>30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>
            <w:pPr>
              <w:jc w:val="center"/>
              <w:rPr>
                <w:sz w:val="18"/>
                <w:szCs w:val="18"/>
              </w:rPr>
            </w:pPr>
            <w:r w:rsidRPr="00C37E8A">
              <w:rPr>
                <w:sz w:val="18"/>
                <w:szCs w:val="18"/>
              </w:rPr>
              <w:t>47.52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>
            <w:pPr>
              <w:jc w:val="center"/>
              <w:rPr>
                <w:sz w:val="18"/>
                <w:szCs w:val="18"/>
              </w:rPr>
            </w:pPr>
            <w:r w:rsidRPr="00C37E8A">
              <w:rPr>
                <w:sz w:val="18"/>
                <w:szCs w:val="18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37E8A" w:rsidRPr="00C37E8A" w:rsidRDefault="00C37E8A" w:rsidP="00C37E8A">
            <w:pPr>
              <w:jc w:val="center"/>
              <w:rPr>
                <w:sz w:val="18"/>
                <w:szCs w:val="18"/>
              </w:rPr>
            </w:pPr>
            <w:r w:rsidRPr="00C37E8A">
              <w:rPr>
                <w:sz w:val="18"/>
                <w:szCs w:val="18"/>
              </w:rPr>
              <w:t>30.00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8A" w:rsidRPr="00C37E8A" w:rsidRDefault="00C37E8A" w:rsidP="00C37E8A">
            <w:pPr>
              <w:jc w:val="center"/>
              <w:rPr>
                <w:sz w:val="18"/>
                <w:szCs w:val="18"/>
              </w:rPr>
            </w:pPr>
            <w:r w:rsidRPr="00C37E8A">
              <w:rPr>
                <w:sz w:val="18"/>
                <w:szCs w:val="18"/>
              </w:rPr>
              <w:t>50.60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>
            <w:pPr>
              <w:jc w:val="center"/>
              <w:rPr>
                <w:sz w:val="18"/>
                <w:szCs w:val="18"/>
              </w:rPr>
            </w:pPr>
            <w:r w:rsidRPr="00C37E8A">
              <w:rPr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37E8A" w:rsidRPr="00C37E8A" w:rsidRDefault="00C37E8A" w:rsidP="00C37E8A">
            <w:pPr>
              <w:jc w:val="center"/>
              <w:rPr>
                <w:sz w:val="18"/>
                <w:szCs w:val="18"/>
              </w:rPr>
            </w:pPr>
            <w:r w:rsidRPr="00C37E8A">
              <w:rPr>
                <w:sz w:val="18"/>
                <w:szCs w:val="18"/>
              </w:rPr>
              <w:t>28.17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E8A" w:rsidRPr="00C37E8A" w:rsidTr="00C37E8A">
        <w:trPr>
          <w:trHeight w:val="10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8A" w:rsidRPr="00C37E8A" w:rsidRDefault="00C37E8A" w:rsidP="00C37E8A">
            <w:pPr>
              <w:jc w:val="center"/>
              <w:rPr>
                <w:sz w:val="12"/>
                <w:szCs w:val="12"/>
              </w:rPr>
            </w:pPr>
            <w:r w:rsidRPr="00C37E8A">
              <w:rPr>
                <w:sz w:val="12"/>
                <w:szCs w:val="12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E8A" w:rsidRPr="00C37E8A" w:rsidRDefault="00C37E8A" w:rsidP="00C37E8A">
            <w:pPr>
              <w:rPr>
                <w:color w:val="000000"/>
                <w:sz w:val="20"/>
                <w:szCs w:val="20"/>
              </w:rPr>
            </w:pPr>
            <w:r w:rsidRPr="00C37E8A">
              <w:rPr>
                <w:color w:val="000000"/>
                <w:sz w:val="20"/>
                <w:szCs w:val="20"/>
              </w:rPr>
              <w:t>virsbūves mazgāšana ar rokām  (</w:t>
            </w:r>
            <w:proofErr w:type="spellStart"/>
            <w:r w:rsidRPr="00C37E8A">
              <w:rPr>
                <w:color w:val="000000"/>
                <w:sz w:val="20"/>
                <w:szCs w:val="20"/>
              </w:rPr>
              <w:t>Fin.pied</w:t>
            </w:r>
            <w:proofErr w:type="spellEnd"/>
            <w:r w:rsidRPr="00C37E8A">
              <w:rPr>
                <w:color w:val="000000"/>
                <w:sz w:val="20"/>
                <w:szCs w:val="20"/>
              </w:rPr>
              <w:t>.                 D  (A+B+C) )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8A" w:rsidRPr="00C37E8A" w:rsidRDefault="00C37E8A" w:rsidP="00C37E8A">
            <w:pPr>
              <w:jc w:val="center"/>
              <w:rPr>
                <w:sz w:val="18"/>
                <w:szCs w:val="18"/>
              </w:rPr>
            </w:pPr>
            <w:r w:rsidRPr="00C37E8A">
              <w:rPr>
                <w:sz w:val="18"/>
                <w:szCs w:val="18"/>
              </w:rPr>
              <w:t>25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>
            <w:pPr>
              <w:jc w:val="center"/>
              <w:rPr>
                <w:sz w:val="18"/>
                <w:szCs w:val="18"/>
              </w:rPr>
            </w:pPr>
            <w:r w:rsidRPr="00C37E8A">
              <w:rPr>
                <w:sz w:val="18"/>
                <w:szCs w:val="18"/>
              </w:rPr>
              <w:t>17.35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>
            <w:pPr>
              <w:jc w:val="center"/>
              <w:rPr>
                <w:sz w:val="18"/>
                <w:szCs w:val="18"/>
              </w:rPr>
            </w:pPr>
            <w:r w:rsidRPr="00C37E8A">
              <w:rPr>
                <w:sz w:val="18"/>
                <w:szCs w:val="18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37E8A" w:rsidRPr="00C37E8A" w:rsidRDefault="00C37E8A" w:rsidP="00C37E8A">
            <w:pPr>
              <w:jc w:val="center"/>
              <w:rPr>
                <w:sz w:val="18"/>
                <w:szCs w:val="18"/>
              </w:rPr>
            </w:pPr>
            <w:r w:rsidRPr="00C37E8A">
              <w:rPr>
                <w:sz w:val="18"/>
                <w:szCs w:val="18"/>
              </w:rPr>
              <w:t>25.00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E8A" w:rsidRPr="00C37E8A" w:rsidRDefault="00C37E8A" w:rsidP="00C37E8A">
            <w:pPr>
              <w:jc w:val="center"/>
              <w:rPr>
                <w:sz w:val="18"/>
                <w:szCs w:val="18"/>
              </w:rPr>
            </w:pPr>
            <w:r w:rsidRPr="00C37E8A">
              <w:rPr>
                <w:sz w:val="18"/>
                <w:szCs w:val="18"/>
              </w:rPr>
              <w:t>20.04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>
            <w:pPr>
              <w:jc w:val="center"/>
              <w:rPr>
                <w:sz w:val="18"/>
                <w:szCs w:val="18"/>
              </w:rPr>
            </w:pPr>
            <w:r w:rsidRPr="00C37E8A">
              <w:rPr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37E8A" w:rsidRPr="00C37E8A" w:rsidRDefault="00C37E8A" w:rsidP="00C37E8A">
            <w:pPr>
              <w:jc w:val="center"/>
              <w:rPr>
                <w:sz w:val="18"/>
                <w:szCs w:val="18"/>
              </w:rPr>
            </w:pPr>
            <w:r w:rsidRPr="00C37E8A">
              <w:rPr>
                <w:sz w:val="18"/>
                <w:szCs w:val="18"/>
              </w:rPr>
              <w:t>21.64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E8A" w:rsidRPr="00C37E8A" w:rsidTr="00C37E8A">
        <w:trPr>
          <w:trHeight w:val="9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8A" w:rsidRPr="00C37E8A" w:rsidRDefault="00C37E8A" w:rsidP="00C37E8A">
            <w:pPr>
              <w:jc w:val="center"/>
              <w:rPr>
                <w:sz w:val="12"/>
                <w:szCs w:val="12"/>
              </w:rPr>
            </w:pPr>
            <w:r w:rsidRPr="00C37E8A">
              <w:rPr>
                <w:sz w:val="12"/>
                <w:szCs w:val="12"/>
              </w:rPr>
              <w:t>3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8A" w:rsidRPr="00C37E8A" w:rsidRDefault="00C37E8A" w:rsidP="00C37E8A">
            <w:pPr>
              <w:jc w:val="both"/>
              <w:rPr>
                <w:color w:val="000000"/>
                <w:sz w:val="20"/>
                <w:szCs w:val="20"/>
              </w:rPr>
            </w:pPr>
            <w:r w:rsidRPr="00C37E8A">
              <w:rPr>
                <w:color w:val="000000"/>
                <w:sz w:val="20"/>
                <w:szCs w:val="20"/>
              </w:rPr>
              <w:t>paklāju (4 gabali) tīrīšana  (</w:t>
            </w:r>
            <w:proofErr w:type="spellStart"/>
            <w:r w:rsidRPr="00C37E8A">
              <w:rPr>
                <w:color w:val="000000"/>
                <w:sz w:val="20"/>
                <w:szCs w:val="20"/>
              </w:rPr>
              <w:t>Fin.pied</w:t>
            </w:r>
            <w:proofErr w:type="spellEnd"/>
            <w:r w:rsidRPr="00C37E8A">
              <w:rPr>
                <w:color w:val="000000"/>
                <w:sz w:val="20"/>
                <w:szCs w:val="20"/>
              </w:rPr>
              <w:t>.                 D  (A+B+C))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8A" w:rsidRPr="00C37E8A" w:rsidRDefault="00C37E8A" w:rsidP="00C37E8A">
            <w:pPr>
              <w:jc w:val="center"/>
              <w:rPr>
                <w:sz w:val="18"/>
                <w:szCs w:val="18"/>
              </w:rPr>
            </w:pPr>
            <w:r w:rsidRPr="00C37E8A">
              <w:rPr>
                <w:sz w:val="18"/>
                <w:szCs w:val="18"/>
              </w:rPr>
              <w:t>15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>
            <w:pPr>
              <w:jc w:val="center"/>
              <w:rPr>
                <w:sz w:val="18"/>
                <w:szCs w:val="18"/>
              </w:rPr>
            </w:pPr>
            <w:r w:rsidRPr="00C37E8A">
              <w:rPr>
                <w:sz w:val="18"/>
                <w:szCs w:val="18"/>
              </w:rPr>
              <w:t>3.00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>
            <w:pPr>
              <w:jc w:val="center"/>
              <w:rPr>
                <w:sz w:val="18"/>
                <w:szCs w:val="18"/>
              </w:rPr>
            </w:pPr>
            <w:r w:rsidRPr="00C37E8A">
              <w:rPr>
                <w:sz w:val="18"/>
                <w:szCs w:val="18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37E8A" w:rsidRPr="00C37E8A" w:rsidRDefault="00C37E8A" w:rsidP="00C37E8A">
            <w:pPr>
              <w:jc w:val="center"/>
              <w:rPr>
                <w:sz w:val="18"/>
                <w:szCs w:val="18"/>
              </w:rPr>
            </w:pPr>
            <w:r w:rsidRPr="00C37E8A">
              <w:rPr>
                <w:sz w:val="18"/>
                <w:szCs w:val="18"/>
              </w:rPr>
              <w:t>6.30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E8A" w:rsidRPr="00C37E8A" w:rsidRDefault="00C37E8A" w:rsidP="00C37E8A">
            <w:pPr>
              <w:jc w:val="center"/>
              <w:rPr>
                <w:sz w:val="18"/>
                <w:szCs w:val="18"/>
              </w:rPr>
            </w:pPr>
            <w:r w:rsidRPr="00C37E8A">
              <w:rPr>
                <w:sz w:val="18"/>
                <w:szCs w:val="18"/>
              </w:rPr>
              <w:t>1.26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>
            <w:pPr>
              <w:jc w:val="center"/>
              <w:rPr>
                <w:sz w:val="18"/>
                <w:szCs w:val="18"/>
              </w:rPr>
            </w:pPr>
            <w:r w:rsidRPr="00C37E8A">
              <w:rPr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37E8A" w:rsidRPr="00C37E8A" w:rsidRDefault="00C37E8A" w:rsidP="00C37E8A">
            <w:pPr>
              <w:jc w:val="center"/>
              <w:rPr>
                <w:sz w:val="18"/>
                <w:szCs w:val="18"/>
              </w:rPr>
            </w:pPr>
            <w:r w:rsidRPr="00C37E8A">
              <w:rPr>
                <w:sz w:val="18"/>
                <w:szCs w:val="18"/>
              </w:rPr>
              <w:t>15.00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E8A" w:rsidRPr="00C37E8A" w:rsidTr="00C37E8A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8A" w:rsidRPr="00C37E8A" w:rsidRDefault="00C37E8A" w:rsidP="00C37E8A">
            <w:pPr>
              <w:jc w:val="center"/>
              <w:rPr>
                <w:sz w:val="12"/>
                <w:szCs w:val="12"/>
              </w:rPr>
            </w:pPr>
            <w:r w:rsidRPr="00C37E8A">
              <w:rPr>
                <w:sz w:val="12"/>
                <w:szCs w:val="12"/>
              </w:rPr>
              <w:t>4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8A" w:rsidRPr="00C37E8A" w:rsidRDefault="00C37E8A" w:rsidP="00C37E8A">
            <w:pPr>
              <w:rPr>
                <w:color w:val="000000"/>
                <w:sz w:val="20"/>
                <w:szCs w:val="20"/>
              </w:rPr>
            </w:pPr>
            <w:r w:rsidRPr="00C37E8A">
              <w:rPr>
                <w:color w:val="000000"/>
                <w:sz w:val="20"/>
                <w:szCs w:val="20"/>
              </w:rPr>
              <w:t>salona ķīmiskā tīrīšana (</w:t>
            </w:r>
            <w:proofErr w:type="spellStart"/>
            <w:r w:rsidRPr="00C37E8A">
              <w:rPr>
                <w:color w:val="000000"/>
                <w:sz w:val="20"/>
                <w:szCs w:val="20"/>
              </w:rPr>
              <w:t>Fin.pied</w:t>
            </w:r>
            <w:proofErr w:type="spellEnd"/>
            <w:r w:rsidRPr="00C37E8A">
              <w:rPr>
                <w:color w:val="000000"/>
                <w:sz w:val="20"/>
                <w:szCs w:val="20"/>
              </w:rPr>
              <w:t>.                 D  (A+B+C))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8A" w:rsidRPr="00C37E8A" w:rsidRDefault="00C37E8A" w:rsidP="00C37E8A">
            <w:pPr>
              <w:jc w:val="center"/>
              <w:rPr>
                <w:sz w:val="18"/>
                <w:szCs w:val="18"/>
              </w:rPr>
            </w:pPr>
            <w:r w:rsidRPr="00C37E8A">
              <w:rPr>
                <w:sz w:val="18"/>
                <w:szCs w:val="18"/>
              </w:rPr>
              <w:t>15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>
            <w:pPr>
              <w:jc w:val="center"/>
              <w:rPr>
                <w:sz w:val="18"/>
                <w:szCs w:val="18"/>
              </w:rPr>
            </w:pPr>
            <w:r w:rsidRPr="00C37E8A">
              <w:rPr>
                <w:sz w:val="18"/>
                <w:szCs w:val="18"/>
              </w:rPr>
              <w:t>65.00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>
            <w:pPr>
              <w:jc w:val="center"/>
              <w:rPr>
                <w:sz w:val="18"/>
                <w:szCs w:val="18"/>
              </w:rPr>
            </w:pPr>
            <w:r w:rsidRPr="00C37E8A">
              <w:rPr>
                <w:sz w:val="18"/>
                <w:szCs w:val="18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37E8A" w:rsidRPr="00C37E8A" w:rsidRDefault="00C37E8A" w:rsidP="00C37E8A">
            <w:pPr>
              <w:jc w:val="center"/>
              <w:rPr>
                <w:sz w:val="18"/>
                <w:szCs w:val="18"/>
              </w:rPr>
            </w:pPr>
            <w:r w:rsidRPr="00C37E8A">
              <w:rPr>
                <w:sz w:val="18"/>
                <w:szCs w:val="18"/>
              </w:rPr>
              <w:t>15.00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E8A" w:rsidRPr="00C37E8A" w:rsidRDefault="00C37E8A" w:rsidP="00C37E8A">
            <w:pPr>
              <w:jc w:val="center"/>
              <w:rPr>
                <w:sz w:val="18"/>
                <w:szCs w:val="18"/>
              </w:rPr>
            </w:pPr>
            <w:r w:rsidRPr="00C37E8A">
              <w:rPr>
                <w:sz w:val="18"/>
                <w:szCs w:val="18"/>
              </w:rPr>
              <w:t>99.18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>
            <w:pPr>
              <w:jc w:val="center"/>
              <w:rPr>
                <w:sz w:val="18"/>
                <w:szCs w:val="18"/>
              </w:rPr>
            </w:pPr>
            <w:r w:rsidRPr="00C37E8A">
              <w:rPr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37E8A" w:rsidRPr="00C37E8A" w:rsidRDefault="00C37E8A" w:rsidP="00C37E8A">
            <w:pPr>
              <w:jc w:val="center"/>
              <w:rPr>
                <w:sz w:val="18"/>
                <w:szCs w:val="18"/>
              </w:rPr>
            </w:pPr>
            <w:r w:rsidRPr="00C37E8A">
              <w:rPr>
                <w:sz w:val="18"/>
                <w:szCs w:val="18"/>
              </w:rPr>
              <w:t>9.83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E8A" w:rsidRPr="00C37E8A" w:rsidTr="00C37E8A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8A" w:rsidRPr="00C37E8A" w:rsidRDefault="00C37E8A" w:rsidP="00C37E8A">
            <w:pPr>
              <w:jc w:val="center"/>
              <w:rPr>
                <w:sz w:val="12"/>
                <w:szCs w:val="12"/>
              </w:rPr>
            </w:pPr>
            <w:r w:rsidRPr="00C37E8A">
              <w:rPr>
                <w:sz w:val="12"/>
                <w:szCs w:val="12"/>
              </w:rPr>
              <w:t>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8A" w:rsidRPr="00C37E8A" w:rsidRDefault="00C37E8A" w:rsidP="00C37E8A">
            <w:pPr>
              <w:rPr>
                <w:color w:val="000000"/>
                <w:sz w:val="20"/>
                <w:szCs w:val="20"/>
              </w:rPr>
            </w:pPr>
            <w:r w:rsidRPr="00C37E8A">
              <w:rPr>
                <w:color w:val="000000"/>
                <w:sz w:val="20"/>
                <w:szCs w:val="20"/>
              </w:rPr>
              <w:t>dzinēja mazgāšana (</w:t>
            </w:r>
            <w:proofErr w:type="spellStart"/>
            <w:r w:rsidRPr="00C37E8A">
              <w:rPr>
                <w:color w:val="000000"/>
                <w:sz w:val="20"/>
                <w:szCs w:val="20"/>
              </w:rPr>
              <w:t>Fin.pied</w:t>
            </w:r>
            <w:proofErr w:type="spellEnd"/>
            <w:r w:rsidRPr="00C37E8A">
              <w:rPr>
                <w:color w:val="000000"/>
                <w:sz w:val="20"/>
                <w:szCs w:val="20"/>
              </w:rPr>
              <w:t>.                 D  (A+B+C))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8A" w:rsidRPr="00C37E8A" w:rsidRDefault="00C37E8A" w:rsidP="00C37E8A">
            <w:pPr>
              <w:jc w:val="center"/>
              <w:rPr>
                <w:sz w:val="18"/>
                <w:szCs w:val="18"/>
              </w:rPr>
            </w:pPr>
            <w:r w:rsidRPr="00C37E8A">
              <w:rPr>
                <w:sz w:val="18"/>
                <w:szCs w:val="18"/>
              </w:rPr>
              <w:t>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>
            <w:pPr>
              <w:jc w:val="center"/>
              <w:rPr>
                <w:sz w:val="18"/>
                <w:szCs w:val="18"/>
              </w:rPr>
            </w:pPr>
            <w:r w:rsidRPr="00C37E8A">
              <w:rPr>
                <w:sz w:val="18"/>
                <w:szCs w:val="18"/>
              </w:rPr>
              <w:t>15.00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>
            <w:pPr>
              <w:jc w:val="center"/>
              <w:rPr>
                <w:sz w:val="18"/>
                <w:szCs w:val="18"/>
              </w:rPr>
            </w:pPr>
            <w:r w:rsidRPr="00C37E8A">
              <w:rPr>
                <w:sz w:val="18"/>
                <w:szCs w:val="18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37E8A" w:rsidRPr="00C37E8A" w:rsidRDefault="00C37E8A" w:rsidP="00C37E8A">
            <w:pPr>
              <w:jc w:val="center"/>
              <w:rPr>
                <w:sz w:val="18"/>
                <w:szCs w:val="18"/>
              </w:rPr>
            </w:pPr>
            <w:r w:rsidRPr="00C37E8A">
              <w:rPr>
                <w:sz w:val="18"/>
                <w:szCs w:val="18"/>
              </w:rPr>
              <w:t>5.00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E8A" w:rsidRPr="00C37E8A" w:rsidRDefault="00C37E8A" w:rsidP="00C37E8A">
            <w:pPr>
              <w:jc w:val="center"/>
              <w:rPr>
                <w:sz w:val="18"/>
                <w:szCs w:val="18"/>
              </w:rPr>
            </w:pPr>
            <w:r w:rsidRPr="00C37E8A">
              <w:rPr>
                <w:sz w:val="18"/>
                <w:szCs w:val="18"/>
              </w:rPr>
              <w:t>32.25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>
            <w:pPr>
              <w:jc w:val="center"/>
              <w:rPr>
                <w:sz w:val="18"/>
                <w:szCs w:val="18"/>
              </w:rPr>
            </w:pPr>
            <w:r w:rsidRPr="00C37E8A">
              <w:rPr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37E8A" w:rsidRPr="00C37E8A" w:rsidRDefault="00C37E8A" w:rsidP="00C37E8A">
            <w:pPr>
              <w:jc w:val="center"/>
              <w:rPr>
                <w:sz w:val="18"/>
                <w:szCs w:val="18"/>
              </w:rPr>
            </w:pPr>
            <w:r w:rsidRPr="00C37E8A">
              <w:rPr>
                <w:sz w:val="18"/>
                <w:szCs w:val="18"/>
              </w:rPr>
              <w:t>2.33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E8A" w:rsidRPr="00C37E8A" w:rsidTr="00C37E8A">
        <w:trPr>
          <w:trHeight w:val="12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8A" w:rsidRPr="00C37E8A" w:rsidRDefault="00C37E8A" w:rsidP="00C37E8A">
            <w:pPr>
              <w:jc w:val="center"/>
              <w:rPr>
                <w:sz w:val="12"/>
                <w:szCs w:val="12"/>
              </w:rPr>
            </w:pPr>
            <w:r w:rsidRPr="00C37E8A">
              <w:rPr>
                <w:sz w:val="12"/>
                <w:szCs w:val="12"/>
              </w:rPr>
              <w:t>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8A" w:rsidRPr="00C37E8A" w:rsidRDefault="00C37E8A" w:rsidP="00C37E8A">
            <w:pPr>
              <w:rPr>
                <w:color w:val="000000"/>
                <w:sz w:val="20"/>
                <w:szCs w:val="20"/>
              </w:rPr>
            </w:pPr>
            <w:r w:rsidRPr="00C37E8A">
              <w:rPr>
                <w:color w:val="000000"/>
                <w:sz w:val="20"/>
                <w:szCs w:val="20"/>
              </w:rPr>
              <w:t>virsbūves mazgāšana ar rokām (</w:t>
            </w:r>
            <w:proofErr w:type="spellStart"/>
            <w:r w:rsidRPr="00C37E8A">
              <w:rPr>
                <w:color w:val="000000"/>
                <w:sz w:val="20"/>
                <w:szCs w:val="20"/>
              </w:rPr>
              <w:t>Fin.pied</w:t>
            </w:r>
            <w:proofErr w:type="spellEnd"/>
            <w:r w:rsidRPr="00C37E8A">
              <w:rPr>
                <w:color w:val="000000"/>
                <w:sz w:val="20"/>
                <w:szCs w:val="20"/>
              </w:rPr>
              <w:t>.                 H  (E+F+G))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8A" w:rsidRPr="00C37E8A" w:rsidRDefault="00C37E8A" w:rsidP="00C37E8A">
            <w:pPr>
              <w:jc w:val="center"/>
              <w:rPr>
                <w:sz w:val="18"/>
                <w:szCs w:val="18"/>
              </w:rPr>
            </w:pPr>
            <w:r w:rsidRPr="00C37E8A">
              <w:rPr>
                <w:sz w:val="18"/>
                <w:szCs w:val="18"/>
              </w:rPr>
              <w:t>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>
            <w:pPr>
              <w:jc w:val="center"/>
              <w:rPr>
                <w:sz w:val="18"/>
                <w:szCs w:val="18"/>
              </w:rPr>
            </w:pPr>
            <w:r w:rsidRPr="00C37E8A">
              <w:rPr>
                <w:sz w:val="18"/>
                <w:szCs w:val="18"/>
              </w:rPr>
              <w:t>12.00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>
            <w:pPr>
              <w:jc w:val="center"/>
              <w:rPr>
                <w:sz w:val="18"/>
                <w:szCs w:val="18"/>
              </w:rPr>
            </w:pPr>
            <w:r w:rsidRPr="00C37E8A">
              <w:rPr>
                <w:sz w:val="18"/>
                <w:szCs w:val="18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37E8A" w:rsidRPr="00C37E8A" w:rsidRDefault="00C37E8A" w:rsidP="00C37E8A">
            <w:pPr>
              <w:jc w:val="center"/>
              <w:rPr>
                <w:sz w:val="18"/>
                <w:szCs w:val="18"/>
              </w:rPr>
            </w:pPr>
            <w:r w:rsidRPr="00C37E8A">
              <w:rPr>
                <w:sz w:val="18"/>
                <w:szCs w:val="18"/>
              </w:rPr>
              <w:t>8.80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E8A" w:rsidRPr="00C37E8A" w:rsidRDefault="00C37E8A" w:rsidP="00C37E8A">
            <w:pPr>
              <w:jc w:val="center"/>
              <w:rPr>
                <w:sz w:val="18"/>
                <w:szCs w:val="18"/>
              </w:rPr>
            </w:pPr>
            <w:r w:rsidRPr="00C37E8A">
              <w:rPr>
                <w:sz w:val="18"/>
                <w:szCs w:val="18"/>
              </w:rPr>
              <w:t>10.56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>
            <w:pPr>
              <w:jc w:val="center"/>
              <w:rPr>
                <w:sz w:val="18"/>
                <w:szCs w:val="18"/>
              </w:rPr>
            </w:pPr>
            <w:r w:rsidRPr="00C37E8A">
              <w:rPr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37E8A" w:rsidRPr="00C37E8A" w:rsidRDefault="00C37E8A" w:rsidP="00C37E8A">
            <w:pPr>
              <w:jc w:val="center"/>
              <w:rPr>
                <w:sz w:val="18"/>
                <w:szCs w:val="18"/>
              </w:rPr>
            </w:pPr>
            <w:r w:rsidRPr="00C37E8A">
              <w:rPr>
                <w:sz w:val="18"/>
                <w:szCs w:val="18"/>
              </w:rPr>
              <w:t>10.00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E8A" w:rsidRPr="00C37E8A" w:rsidTr="00C37E8A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8A" w:rsidRPr="00C37E8A" w:rsidRDefault="00C37E8A" w:rsidP="00C37E8A">
            <w:pPr>
              <w:jc w:val="center"/>
              <w:rPr>
                <w:sz w:val="12"/>
                <w:szCs w:val="12"/>
              </w:rPr>
            </w:pPr>
            <w:r w:rsidRPr="00C37E8A">
              <w:rPr>
                <w:sz w:val="12"/>
                <w:szCs w:val="12"/>
              </w:rPr>
              <w:t>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>
            <w:pPr>
              <w:rPr>
                <w:sz w:val="18"/>
                <w:szCs w:val="18"/>
              </w:rPr>
            </w:pPr>
            <w:r w:rsidRPr="00C37E8A">
              <w:rPr>
                <w:sz w:val="18"/>
                <w:szCs w:val="18"/>
              </w:rPr>
              <w:t>Kopā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8A" w:rsidRPr="00C37E8A" w:rsidRDefault="00C37E8A" w:rsidP="00C37E8A">
            <w:pPr>
              <w:jc w:val="center"/>
              <w:rPr>
                <w:sz w:val="18"/>
                <w:szCs w:val="18"/>
              </w:rPr>
            </w:pPr>
            <w:r w:rsidRPr="00C37E8A">
              <w:rPr>
                <w:sz w:val="18"/>
                <w:szCs w:val="18"/>
              </w:rPr>
              <w:t>100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>
            <w:pPr>
              <w:jc w:val="center"/>
              <w:rPr>
                <w:sz w:val="18"/>
                <w:szCs w:val="18"/>
              </w:rPr>
            </w:pPr>
            <w:r w:rsidRPr="00C37E8A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>
            <w:pPr>
              <w:jc w:val="center"/>
              <w:rPr>
                <w:sz w:val="18"/>
                <w:szCs w:val="18"/>
              </w:rPr>
            </w:pPr>
            <w:r w:rsidRPr="00C37E8A">
              <w:rPr>
                <w:sz w:val="18"/>
                <w:szCs w:val="18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37E8A" w:rsidRPr="00C37E8A" w:rsidRDefault="00C37E8A" w:rsidP="00C37E8A">
            <w:pPr>
              <w:jc w:val="center"/>
              <w:rPr>
                <w:sz w:val="18"/>
                <w:szCs w:val="18"/>
              </w:rPr>
            </w:pPr>
            <w:r w:rsidRPr="00C37E8A">
              <w:rPr>
                <w:sz w:val="18"/>
                <w:szCs w:val="18"/>
              </w:rPr>
              <w:t>90.10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8A" w:rsidRPr="00C37E8A" w:rsidRDefault="00C37E8A" w:rsidP="00C37E8A">
            <w:pPr>
              <w:rPr>
                <w:sz w:val="18"/>
                <w:szCs w:val="18"/>
              </w:rPr>
            </w:pPr>
            <w:r w:rsidRPr="00C37E8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>
            <w:pPr>
              <w:jc w:val="center"/>
              <w:rPr>
                <w:sz w:val="18"/>
                <w:szCs w:val="18"/>
              </w:rPr>
            </w:pPr>
            <w:r w:rsidRPr="00C37E8A">
              <w:rPr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37E8A" w:rsidRPr="00C37E8A" w:rsidRDefault="00C37E8A" w:rsidP="00C37E8A">
            <w:pPr>
              <w:jc w:val="center"/>
              <w:rPr>
                <w:sz w:val="18"/>
                <w:szCs w:val="18"/>
              </w:rPr>
            </w:pPr>
            <w:r w:rsidRPr="00C37E8A">
              <w:rPr>
                <w:sz w:val="18"/>
                <w:szCs w:val="18"/>
              </w:rPr>
              <w:t>86.97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E8A" w:rsidRPr="00C37E8A" w:rsidTr="00C37E8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>
            <w:pPr>
              <w:jc w:val="center"/>
              <w:rPr>
                <w:color w:val="FFC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>
            <w:pPr>
              <w:rPr>
                <w:sz w:val="20"/>
                <w:szCs w:val="20"/>
              </w:rPr>
            </w:pPr>
          </w:p>
        </w:tc>
      </w:tr>
      <w:tr w:rsidR="00C37E8A" w:rsidRPr="00C37E8A" w:rsidTr="00C37E8A">
        <w:trPr>
          <w:trHeight w:val="255"/>
        </w:trPr>
        <w:tc>
          <w:tcPr>
            <w:tcW w:w="87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E8A" w:rsidRPr="007A19A2" w:rsidRDefault="00C37E8A" w:rsidP="00C37E8A">
            <w:pPr>
              <w:rPr>
                <w:sz w:val="26"/>
                <w:szCs w:val="26"/>
              </w:rPr>
            </w:pPr>
            <w:r w:rsidRPr="007A19A2">
              <w:rPr>
                <w:sz w:val="26"/>
                <w:szCs w:val="26"/>
              </w:rPr>
              <w:t xml:space="preserve">Saimnieciski visizdevīgākais piedāvājums: </w:t>
            </w:r>
            <w:r w:rsidRPr="007A19A2">
              <w:rPr>
                <w:b/>
                <w:bCs/>
                <w:sz w:val="26"/>
                <w:szCs w:val="26"/>
                <w:u w:val="single"/>
              </w:rPr>
              <w:t>SIA ,,Jūsu Apkalpošanas Dienests"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>
            <w:pPr>
              <w:rPr>
                <w:color w:val="FFC000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>
            <w:pPr>
              <w:rPr>
                <w:sz w:val="14"/>
                <w:szCs w:val="14"/>
              </w:rPr>
            </w:pPr>
          </w:p>
        </w:tc>
      </w:tr>
      <w:tr w:rsidR="00C37E8A" w:rsidRPr="00C37E8A" w:rsidTr="00C37E8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E8A" w:rsidRPr="00C37E8A" w:rsidRDefault="00C37E8A" w:rsidP="00C37E8A">
            <w:pPr>
              <w:rPr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>
            <w:pPr>
              <w:rPr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>
            <w:pPr>
              <w:rPr>
                <w:sz w:val="14"/>
                <w:szCs w:val="1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>
            <w:pPr>
              <w:rPr>
                <w:sz w:val="14"/>
                <w:szCs w:val="1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>
            <w:pPr>
              <w:rPr>
                <w:sz w:val="14"/>
                <w:szCs w:val="1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>
            <w:pPr>
              <w:rPr>
                <w:color w:val="FFC000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>
            <w:pPr>
              <w:rPr>
                <w:sz w:val="14"/>
                <w:szCs w:val="14"/>
              </w:rPr>
            </w:pPr>
          </w:p>
        </w:tc>
      </w:tr>
    </w:tbl>
    <w:p w:rsidR="003B24B2" w:rsidRDefault="003B24B2" w:rsidP="003B24B2">
      <w:pPr>
        <w:tabs>
          <w:tab w:val="left" w:pos="9000"/>
        </w:tabs>
        <w:ind w:right="180" w:firstLine="567"/>
        <w:jc w:val="both"/>
        <w:rPr>
          <w:sz w:val="26"/>
          <w:szCs w:val="26"/>
        </w:rPr>
      </w:pPr>
    </w:p>
    <w:p w:rsidR="005A0B5E" w:rsidRDefault="003B24B2" w:rsidP="005A0B5E">
      <w:pPr>
        <w:pStyle w:val="Pamatteksts"/>
        <w:rPr>
          <w:b/>
          <w:szCs w:val="26"/>
        </w:rPr>
      </w:pPr>
      <w:r>
        <w:rPr>
          <w:b/>
          <w:szCs w:val="26"/>
        </w:rPr>
        <w:t>Iepirkuma komisijas lēmums:</w:t>
      </w:r>
    </w:p>
    <w:p w:rsidR="00CF7768" w:rsidRPr="00CF7768" w:rsidRDefault="00CF7768" w:rsidP="00CF7768">
      <w:pPr>
        <w:numPr>
          <w:ilvl w:val="0"/>
          <w:numId w:val="2"/>
        </w:numPr>
        <w:tabs>
          <w:tab w:val="left" w:pos="284"/>
        </w:tabs>
        <w:spacing w:after="200"/>
        <w:ind w:left="0" w:firstLine="0"/>
        <w:contextualSpacing/>
        <w:jc w:val="both"/>
        <w:rPr>
          <w:rFonts w:eastAsia="Calibri"/>
          <w:sz w:val="26"/>
          <w:szCs w:val="26"/>
          <w:lang w:eastAsia="en-US"/>
        </w:rPr>
      </w:pPr>
      <w:r w:rsidRPr="00CF7768">
        <w:rPr>
          <w:rFonts w:eastAsia="Calibri"/>
          <w:sz w:val="26"/>
          <w:szCs w:val="26"/>
          <w:lang w:eastAsia="en-US"/>
        </w:rPr>
        <w:t>Atzīt pretendenta SIA „</w:t>
      </w:r>
      <w:r w:rsidRPr="00CF7768">
        <w:rPr>
          <w:sz w:val="26"/>
          <w:szCs w:val="26"/>
          <w:lang w:eastAsia="en-US"/>
        </w:rPr>
        <w:t>Jūsu apkalpošanas dienests</w:t>
      </w:r>
      <w:r w:rsidRPr="00CF7768">
        <w:rPr>
          <w:rFonts w:eastAsia="Calibri"/>
          <w:sz w:val="26"/>
          <w:szCs w:val="26"/>
          <w:lang w:eastAsia="en-US"/>
        </w:rPr>
        <w:t>” piedāvājumu par saimnieciski visizdevīgāko.</w:t>
      </w:r>
    </w:p>
    <w:p w:rsidR="006328FB" w:rsidRPr="00C37E8A" w:rsidRDefault="00CF7768" w:rsidP="00C37E8A">
      <w:pPr>
        <w:numPr>
          <w:ilvl w:val="0"/>
          <w:numId w:val="2"/>
        </w:numPr>
        <w:tabs>
          <w:tab w:val="left" w:pos="284"/>
        </w:tabs>
        <w:spacing w:after="200"/>
        <w:ind w:left="0" w:firstLine="0"/>
        <w:contextualSpacing/>
        <w:jc w:val="both"/>
        <w:rPr>
          <w:rFonts w:eastAsia="Calibri"/>
          <w:sz w:val="26"/>
          <w:szCs w:val="26"/>
          <w:lang w:eastAsia="en-US"/>
        </w:rPr>
      </w:pPr>
      <w:r w:rsidRPr="00CF7768">
        <w:rPr>
          <w:rFonts w:eastAsia="Calibri"/>
          <w:sz w:val="26"/>
          <w:szCs w:val="26"/>
          <w:lang w:eastAsia="en-US"/>
        </w:rPr>
        <w:t>Slēgt iepirkuma līgumu ar SIA „</w:t>
      </w:r>
      <w:r w:rsidRPr="00CF7768">
        <w:rPr>
          <w:sz w:val="26"/>
          <w:szCs w:val="26"/>
          <w:lang w:eastAsia="en-US"/>
        </w:rPr>
        <w:t>Jūsu Apkalpošanas Dienests</w:t>
      </w:r>
      <w:r w:rsidRPr="00CF7768">
        <w:rPr>
          <w:rFonts w:eastAsia="Calibri"/>
          <w:sz w:val="26"/>
          <w:szCs w:val="26"/>
          <w:lang w:eastAsia="en-US"/>
        </w:rPr>
        <w:t>”, vienotais reģistrācijas Nr.40103668238, par transportlīd</w:t>
      </w:r>
      <w:bookmarkStart w:id="0" w:name="_GoBack"/>
      <w:bookmarkEnd w:id="0"/>
      <w:r w:rsidRPr="00CF7768">
        <w:rPr>
          <w:rFonts w:eastAsia="Calibri"/>
          <w:sz w:val="26"/>
          <w:szCs w:val="26"/>
          <w:lang w:eastAsia="en-US"/>
        </w:rPr>
        <w:t xml:space="preserve">zekļu mazgāšanu un tīrīšanu par kopējo </w:t>
      </w:r>
      <w:r w:rsidRPr="00CF7768">
        <w:rPr>
          <w:sz w:val="26"/>
          <w:szCs w:val="26"/>
          <w:lang w:eastAsia="en-US"/>
        </w:rPr>
        <w:t>līgumsummu EUR 21 487,60</w:t>
      </w:r>
      <w:r w:rsidR="00221E83">
        <w:rPr>
          <w:sz w:val="26"/>
          <w:szCs w:val="26"/>
          <w:lang w:eastAsia="en-US"/>
        </w:rPr>
        <w:t xml:space="preserve"> </w:t>
      </w:r>
      <w:r w:rsidRPr="00CF7768">
        <w:rPr>
          <w:sz w:val="26"/>
          <w:szCs w:val="26"/>
          <w:lang w:eastAsia="en-US"/>
        </w:rPr>
        <w:t xml:space="preserve">(divdesmit viens tūkstotis četri simti astoņdesmit septiņi </w:t>
      </w:r>
      <w:proofErr w:type="spellStart"/>
      <w:r w:rsidRPr="00CF7768">
        <w:rPr>
          <w:sz w:val="26"/>
          <w:szCs w:val="26"/>
          <w:lang w:eastAsia="en-US"/>
        </w:rPr>
        <w:t>euro</w:t>
      </w:r>
      <w:proofErr w:type="spellEnd"/>
      <w:r w:rsidRPr="00CF7768">
        <w:rPr>
          <w:sz w:val="26"/>
          <w:szCs w:val="26"/>
          <w:lang w:eastAsia="en-US"/>
        </w:rPr>
        <w:t>, 60 centi) bez PVN.</w:t>
      </w:r>
    </w:p>
    <w:p w:rsidR="00A942CB" w:rsidRDefault="00A942CB" w:rsidP="006328FB">
      <w:pPr>
        <w:pStyle w:val="Pamatteksts"/>
        <w:ind w:left="720"/>
      </w:pPr>
    </w:p>
    <w:sectPr w:rsidR="00A942CB" w:rsidSect="003B24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6815"/>
    <w:multiLevelType w:val="hybridMultilevel"/>
    <w:tmpl w:val="943AFE38"/>
    <w:lvl w:ilvl="0" w:tplc="D9807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04F2D"/>
    <w:multiLevelType w:val="hybridMultilevel"/>
    <w:tmpl w:val="C0203F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9652A"/>
    <w:multiLevelType w:val="hybridMultilevel"/>
    <w:tmpl w:val="74205B1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B2"/>
    <w:rsid w:val="0003634D"/>
    <w:rsid w:val="000E1DAD"/>
    <w:rsid w:val="00106B81"/>
    <w:rsid w:val="00221E83"/>
    <w:rsid w:val="002228D9"/>
    <w:rsid w:val="003A3E6A"/>
    <w:rsid w:val="003A4981"/>
    <w:rsid w:val="003B24B2"/>
    <w:rsid w:val="00473055"/>
    <w:rsid w:val="00537C5E"/>
    <w:rsid w:val="005A0B5E"/>
    <w:rsid w:val="006173FD"/>
    <w:rsid w:val="006328FB"/>
    <w:rsid w:val="007A19A2"/>
    <w:rsid w:val="00A238B4"/>
    <w:rsid w:val="00A2601E"/>
    <w:rsid w:val="00A90EA0"/>
    <w:rsid w:val="00A942CB"/>
    <w:rsid w:val="00B5257D"/>
    <w:rsid w:val="00B60C97"/>
    <w:rsid w:val="00BB18EF"/>
    <w:rsid w:val="00C37E8A"/>
    <w:rsid w:val="00C65A79"/>
    <w:rsid w:val="00CF7768"/>
    <w:rsid w:val="00E62673"/>
    <w:rsid w:val="00E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B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nhideWhenUsed/>
    <w:rsid w:val="003B24B2"/>
    <w:pPr>
      <w:jc w:val="both"/>
    </w:pPr>
    <w:rPr>
      <w:sz w:val="26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3B24B2"/>
    <w:rPr>
      <w:rFonts w:ascii="Times New Roman" w:eastAsia="Times New Roman" w:hAnsi="Times New Roman" w:cs="Times New Roman"/>
      <w:sz w:val="26"/>
      <w:szCs w:val="20"/>
    </w:rPr>
  </w:style>
  <w:style w:type="paragraph" w:styleId="Sarakstarindkopa">
    <w:name w:val="List Paragraph"/>
    <w:basedOn w:val="Parasts"/>
    <w:uiPriority w:val="34"/>
    <w:qFormat/>
    <w:rsid w:val="003B24B2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37E8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37E8A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B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nhideWhenUsed/>
    <w:rsid w:val="003B24B2"/>
    <w:pPr>
      <w:jc w:val="both"/>
    </w:pPr>
    <w:rPr>
      <w:sz w:val="26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3B24B2"/>
    <w:rPr>
      <w:rFonts w:ascii="Times New Roman" w:eastAsia="Times New Roman" w:hAnsi="Times New Roman" w:cs="Times New Roman"/>
      <w:sz w:val="26"/>
      <w:szCs w:val="20"/>
    </w:rPr>
  </w:style>
  <w:style w:type="paragraph" w:styleId="Sarakstarindkopa">
    <w:name w:val="List Paragraph"/>
    <w:basedOn w:val="Parasts"/>
    <w:uiPriority w:val="34"/>
    <w:qFormat/>
    <w:rsid w:val="003B24B2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37E8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37E8A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2587</Words>
  <Characters>1475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Ineta Kazakova</dc:creator>
  <cp:lastModifiedBy>Dzintra Petrena</cp:lastModifiedBy>
  <cp:revision>11</cp:revision>
  <cp:lastPrinted>2014-12-17T07:02:00Z</cp:lastPrinted>
  <dcterms:created xsi:type="dcterms:W3CDTF">2014-12-16T09:38:00Z</dcterms:created>
  <dcterms:modified xsi:type="dcterms:W3CDTF">2017-01-19T13:28:00Z</dcterms:modified>
</cp:coreProperties>
</file>